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9AEA" w14:textId="746F8E83" w:rsidR="001C174C" w:rsidRPr="0008017E" w:rsidRDefault="00EF07B7" w:rsidP="007054AB">
      <w:pPr>
        <w:spacing w:after="120" w:line="240" w:lineRule="auto"/>
        <w:jc w:val="center"/>
        <w:rPr>
          <w:rFonts w:eastAsia="Times New Roman" w:cs="Calibri"/>
          <w:b/>
          <w:bCs/>
          <w:szCs w:val="20"/>
          <w:lang w:val="en-IN"/>
        </w:rPr>
      </w:pPr>
      <w:r w:rsidRPr="0008017E">
        <w:rPr>
          <w:rFonts w:eastAsia="Times New Roman" w:cs="Calibri"/>
          <w:b/>
          <w:bCs/>
          <w:szCs w:val="20"/>
          <w:lang w:val="en-IN"/>
        </w:rPr>
        <w:t>S</w:t>
      </w:r>
      <w:r w:rsidR="00871675">
        <w:rPr>
          <w:rFonts w:eastAsia="Times New Roman" w:cs="Calibri"/>
          <w:b/>
          <w:bCs/>
          <w:szCs w:val="20"/>
          <w:lang w:val="en-IN"/>
        </w:rPr>
        <w:t xml:space="preserve">pecial </w:t>
      </w:r>
      <w:r w:rsidR="007A052C">
        <w:rPr>
          <w:rFonts w:eastAsia="Times New Roman" w:cs="Calibri"/>
          <w:b/>
          <w:bCs/>
          <w:szCs w:val="20"/>
          <w:lang w:val="en-IN"/>
        </w:rPr>
        <w:t>T</w:t>
      </w:r>
      <w:r w:rsidR="00871675">
        <w:rPr>
          <w:rFonts w:eastAsia="Times New Roman" w:cs="Calibri"/>
          <w:b/>
          <w:bCs/>
          <w:szCs w:val="20"/>
          <w:lang w:val="en-IN"/>
        </w:rPr>
        <w:t xml:space="preserve">erms &amp; </w:t>
      </w:r>
      <w:r w:rsidRPr="0008017E">
        <w:rPr>
          <w:rFonts w:eastAsia="Times New Roman" w:cs="Calibri"/>
          <w:b/>
          <w:bCs/>
          <w:szCs w:val="20"/>
          <w:lang w:val="en-IN"/>
        </w:rPr>
        <w:t>C</w:t>
      </w:r>
      <w:r w:rsidR="00871675">
        <w:rPr>
          <w:rFonts w:eastAsia="Times New Roman" w:cs="Calibri"/>
          <w:b/>
          <w:bCs/>
          <w:szCs w:val="20"/>
          <w:lang w:val="en-IN"/>
        </w:rPr>
        <w:t>onditions</w:t>
      </w:r>
    </w:p>
    <w:p w14:paraId="3071F31A" w14:textId="77777777" w:rsidR="001C174C" w:rsidRPr="0008017E" w:rsidRDefault="001C174C" w:rsidP="006217FE">
      <w:pPr>
        <w:spacing w:after="0" w:line="240" w:lineRule="auto"/>
        <w:rPr>
          <w:szCs w:val="20"/>
          <w:lang w:val="en-IN"/>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44"/>
        <w:gridCol w:w="1370"/>
        <w:gridCol w:w="1083"/>
        <w:gridCol w:w="7562"/>
      </w:tblGrid>
      <w:tr w:rsidR="00B016DE" w:rsidRPr="0008017E" w14:paraId="6E267682" w14:textId="77777777" w:rsidTr="00B016DE">
        <w:trPr>
          <w:tblHeader/>
        </w:trPr>
        <w:tc>
          <w:tcPr>
            <w:tcW w:w="212" w:type="pct"/>
            <w:shd w:val="clear" w:color="auto" w:fill="BFBFBF" w:themeFill="background1" w:themeFillShade="BF"/>
            <w:hideMark/>
          </w:tcPr>
          <w:p w14:paraId="1E87E7CA" w14:textId="77777777" w:rsidR="00B016DE" w:rsidRPr="0008017E" w:rsidRDefault="00B016DE" w:rsidP="00F9543C">
            <w:pPr>
              <w:spacing w:after="120" w:line="240" w:lineRule="auto"/>
              <w:jc w:val="center"/>
              <w:rPr>
                <w:rFonts w:eastAsia="Times New Roman" w:cs="Calibri"/>
                <w:b/>
                <w:bCs/>
                <w:szCs w:val="20"/>
                <w:lang w:val="en-IN"/>
              </w:rPr>
            </w:pPr>
            <w:r w:rsidRPr="0008017E">
              <w:rPr>
                <w:rFonts w:eastAsia="Times New Roman" w:cs="Calibri"/>
                <w:b/>
                <w:bCs/>
                <w:szCs w:val="20"/>
                <w:lang w:val="en-IN"/>
              </w:rPr>
              <w:t>Sr. No.</w:t>
            </w:r>
          </w:p>
        </w:tc>
        <w:tc>
          <w:tcPr>
            <w:tcW w:w="655" w:type="pct"/>
            <w:shd w:val="clear" w:color="auto" w:fill="BFBFBF" w:themeFill="background1" w:themeFillShade="BF"/>
            <w:hideMark/>
          </w:tcPr>
          <w:p w14:paraId="5ED404D3" w14:textId="77777777" w:rsidR="00B016DE" w:rsidRPr="0008017E" w:rsidRDefault="00B016DE" w:rsidP="00F9543C">
            <w:pPr>
              <w:spacing w:after="120" w:line="240" w:lineRule="auto"/>
              <w:ind w:left="16"/>
              <w:jc w:val="center"/>
              <w:rPr>
                <w:rFonts w:eastAsia="Times New Roman" w:cs="Calibri"/>
                <w:b/>
                <w:bCs/>
                <w:szCs w:val="20"/>
                <w:lang w:val="en-IN"/>
              </w:rPr>
            </w:pPr>
            <w:r w:rsidRPr="0008017E">
              <w:rPr>
                <w:rFonts w:eastAsia="Times New Roman" w:cs="Calibri"/>
                <w:b/>
                <w:bCs/>
                <w:szCs w:val="20"/>
                <w:lang w:val="en-IN"/>
              </w:rPr>
              <w:t>Particulars</w:t>
            </w:r>
          </w:p>
        </w:tc>
        <w:tc>
          <w:tcPr>
            <w:tcW w:w="518" w:type="pct"/>
            <w:shd w:val="clear" w:color="auto" w:fill="BFBFBF" w:themeFill="background1" w:themeFillShade="BF"/>
            <w:vAlign w:val="center"/>
          </w:tcPr>
          <w:p w14:paraId="16F0178A" w14:textId="17F01DB8" w:rsidR="00B016DE" w:rsidRPr="0008017E" w:rsidRDefault="00B016DE" w:rsidP="00F9543C">
            <w:pPr>
              <w:spacing w:after="120" w:line="240" w:lineRule="auto"/>
              <w:ind w:left="31"/>
              <w:jc w:val="center"/>
              <w:rPr>
                <w:rFonts w:eastAsia="Times New Roman" w:cs="Calibri"/>
                <w:b/>
                <w:bCs/>
                <w:szCs w:val="20"/>
                <w:lang w:val="en-IN"/>
              </w:rPr>
            </w:pPr>
            <w:r>
              <w:rPr>
                <w:rFonts w:eastAsia="Times New Roman" w:cs="Calibri"/>
                <w:b/>
                <w:bCs/>
                <w:szCs w:val="20"/>
                <w:lang w:val="en-IN"/>
              </w:rPr>
              <w:t>GCC reference</w:t>
            </w:r>
          </w:p>
        </w:tc>
        <w:tc>
          <w:tcPr>
            <w:tcW w:w="3615" w:type="pct"/>
            <w:shd w:val="clear" w:color="auto" w:fill="BFBFBF" w:themeFill="background1" w:themeFillShade="BF"/>
            <w:hideMark/>
          </w:tcPr>
          <w:p w14:paraId="03D2681E" w14:textId="22D6766E" w:rsidR="00B016DE" w:rsidRPr="0008017E" w:rsidRDefault="00B016DE" w:rsidP="00F9543C">
            <w:pPr>
              <w:tabs>
                <w:tab w:val="left" w:pos="11820"/>
              </w:tabs>
              <w:spacing w:after="120" w:line="240" w:lineRule="auto"/>
              <w:ind w:left="31"/>
              <w:jc w:val="center"/>
              <w:rPr>
                <w:rFonts w:eastAsia="Times New Roman" w:cs="Calibri"/>
                <w:b/>
                <w:bCs/>
                <w:szCs w:val="20"/>
                <w:lang w:val="en-IN"/>
              </w:rPr>
            </w:pPr>
            <w:r w:rsidRPr="0008017E">
              <w:rPr>
                <w:rFonts w:eastAsia="Times New Roman" w:cs="Calibri"/>
                <w:b/>
                <w:bCs/>
                <w:szCs w:val="20"/>
                <w:lang w:val="en-IN"/>
              </w:rPr>
              <w:t>Employer's Terms and Conditions</w:t>
            </w:r>
          </w:p>
        </w:tc>
      </w:tr>
      <w:tr w:rsidR="00B016DE" w:rsidRPr="0008017E" w14:paraId="6A30F11D" w14:textId="77777777" w:rsidTr="00B016DE">
        <w:tc>
          <w:tcPr>
            <w:tcW w:w="212" w:type="pct"/>
            <w:shd w:val="clear" w:color="auto" w:fill="auto"/>
            <w:hideMark/>
          </w:tcPr>
          <w:p w14:paraId="549D4CB1"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hideMark/>
          </w:tcPr>
          <w:p w14:paraId="3193F8B2" w14:textId="77777777" w:rsidR="00B016DE" w:rsidRPr="0008017E"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Scope of Work</w:t>
            </w:r>
          </w:p>
        </w:tc>
        <w:tc>
          <w:tcPr>
            <w:tcW w:w="518" w:type="pct"/>
          </w:tcPr>
          <w:p w14:paraId="5AB0F59B" w14:textId="71B0CECB" w:rsidR="00B016DE" w:rsidRPr="00871675" w:rsidRDefault="00B016DE" w:rsidP="00F9543C">
            <w:pPr>
              <w:spacing w:after="120" w:line="240" w:lineRule="auto"/>
              <w:rPr>
                <w:rFonts w:eastAsia="Times New Roman" w:cs="Calibri"/>
                <w:szCs w:val="20"/>
              </w:rPr>
            </w:pPr>
            <w:r>
              <w:rPr>
                <w:rFonts w:eastAsia="Times New Roman" w:cs="Calibri"/>
                <w:szCs w:val="20"/>
                <w:lang w:val="en-IN"/>
              </w:rPr>
              <w:t>Clause no. 3.1</w:t>
            </w:r>
          </w:p>
        </w:tc>
        <w:tc>
          <w:tcPr>
            <w:tcW w:w="3615" w:type="pct"/>
            <w:shd w:val="clear" w:color="auto" w:fill="auto"/>
            <w:hideMark/>
          </w:tcPr>
          <w:p w14:paraId="0661122C" w14:textId="7961A76D" w:rsidR="00B016DE" w:rsidRPr="0008017E" w:rsidRDefault="00B016DE" w:rsidP="00F9543C">
            <w:pPr>
              <w:tabs>
                <w:tab w:val="left" w:pos="11820"/>
              </w:tabs>
              <w:spacing w:after="120" w:line="240" w:lineRule="auto"/>
              <w:rPr>
                <w:rFonts w:eastAsia="Times New Roman" w:cs="Calibri"/>
                <w:szCs w:val="20"/>
                <w:lang w:val="en-IN"/>
              </w:rPr>
            </w:pPr>
            <w:r w:rsidRPr="00871675">
              <w:rPr>
                <w:rFonts w:eastAsia="Times New Roman" w:cs="Calibri"/>
                <w:szCs w:val="20"/>
              </w:rPr>
              <w:t>Work includes</w:t>
            </w:r>
            <w:r>
              <w:rPr>
                <w:rFonts w:eastAsia="Times New Roman" w:cs="Calibri"/>
                <w:szCs w:val="20"/>
              </w:rPr>
              <w:t xml:space="preserve"> civil, interior and MEPF works.</w:t>
            </w:r>
          </w:p>
        </w:tc>
      </w:tr>
      <w:tr w:rsidR="00B016DE" w:rsidRPr="0008017E" w14:paraId="37BF3A92" w14:textId="77777777" w:rsidTr="00B016DE">
        <w:tc>
          <w:tcPr>
            <w:tcW w:w="212" w:type="pct"/>
            <w:shd w:val="clear" w:color="auto" w:fill="auto"/>
          </w:tcPr>
          <w:p w14:paraId="5528D23F"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1A168B96" w14:textId="46EEAA0B" w:rsidR="00B016DE" w:rsidRPr="0008017E"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Effective Date</w:t>
            </w:r>
          </w:p>
        </w:tc>
        <w:tc>
          <w:tcPr>
            <w:tcW w:w="518" w:type="pct"/>
          </w:tcPr>
          <w:p w14:paraId="77D47A84" w14:textId="26FA465F"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Clause no. 9.1</w:t>
            </w:r>
          </w:p>
        </w:tc>
        <w:tc>
          <w:tcPr>
            <w:tcW w:w="3615" w:type="pct"/>
            <w:shd w:val="clear" w:color="auto" w:fill="auto"/>
          </w:tcPr>
          <w:p w14:paraId="6DF5C504" w14:textId="7267BC77" w:rsidR="00B016DE" w:rsidRPr="0008017E" w:rsidRDefault="00B016DE" w:rsidP="00F9543C">
            <w:pPr>
              <w:tabs>
                <w:tab w:val="left" w:pos="11820"/>
              </w:tabs>
              <w:spacing w:after="120" w:line="240" w:lineRule="auto"/>
              <w:rPr>
                <w:rFonts w:eastAsia="Times New Roman" w:cs="Calibri"/>
                <w:szCs w:val="20"/>
                <w:lang w:val="en-IN"/>
              </w:rPr>
            </w:pPr>
            <w:r w:rsidRPr="00361F82">
              <w:rPr>
                <w:rFonts w:eastAsia="Times New Roman" w:cs="Calibri"/>
                <w:szCs w:val="20"/>
                <w:lang w:val="en-IN"/>
              </w:rPr>
              <w:t xml:space="preserve">The Effective Date shall mean the date of issuance of the </w:t>
            </w:r>
            <w:r w:rsidRPr="00361F82">
              <w:rPr>
                <w:rFonts w:eastAsia="Times New Roman" w:cs="Calibri"/>
                <w:b/>
                <w:bCs/>
                <w:szCs w:val="20"/>
                <w:lang w:val="en-IN"/>
              </w:rPr>
              <w:t>Letter of Intent / Notice to Proceed</w:t>
            </w:r>
            <w:r w:rsidRPr="00361F82">
              <w:rPr>
                <w:rFonts w:eastAsia="Times New Roman" w:cs="Calibri"/>
                <w:szCs w:val="20"/>
                <w:lang w:val="en-IN"/>
              </w:rPr>
              <w:t xml:space="preserve"> by the Employer to the </w:t>
            </w:r>
            <w:r>
              <w:rPr>
                <w:rFonts w:eastAsia="Times New Roman" w:cs="Calibri"/>
                <w:szCs w:val="20"/>
                <w:lang w:val="en-IN"/>
              </w:rPr>
              <w:t>Contractor</w:t>
            </w:r>
            <w:r w:rsidRPr="00361F82">
              <w:rPr>
                <w:rFonts w:eastAsia="Times New Roman" w:cs="Calibri"/>
                <w:szCs w:val="20"/>
                <w:lang w:val="en-IN"/>
              </w:rPr>
              <w:t>, whichever is earlier.</w:t>
            </w:r>
          </w:p>
        </w:tc>
      </w:tr>
      <w:tr w:rsidR="00B016DE" w:rsidRPr="0008017E" w14:paraId="1423F344" w14:textId="77777777" w:rsidTr="00B016DE">
        <w:tc>
          <w:tcPr>
            <w:tcW w:w="212" w:type="pct"/>
            <w:shd w:val="clear" w:color="auto" w:fill="auto"/>
            <w:hideMark/>
          </w:tcPr>
          <w:p w14:paraId="729ECCA2"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hideMark/>
          </w:tcPr>
          <w:p w14:paraId="511D60A8" w14:textId="03BA8D46" w:rsidR="00B016DE" w:rsidRPr="0008017E"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Site</w:t>
            </w:r>
          </w:p>
        </w:tc>
        <w:tc>
          <w:tcPr>
            <w:tcW w:w="518" w:type="pct"/>
          </w:tcPr>
          <w:p w14:paraId="4BF0751B" w14:textId="6A6A7177" w:rsidR="00B016DE" w:rsidRPr="00CA2BC9" w:rsidRDefault="00B016DE" w:rsidP="00F9543C">
            <w:pPr>
              <w:spacing w:after="120" w:line="240" w:lineRule="auto"/>
              <w:rPr>
                <w:rFonts w:eastAsia="Times New Roman" w:cs="Calibri"/>
                <w:szCs w:val="20"/>
                <w:lang w:val="en-IN"/>
              </w:rPr>
            </w:pPr>
            <w:r>
              <w:rPr>
                <w:rFonts w:eastAsia="Times New Roman" w:cs="Calibri"/>
                <w:szCs w:val="20"/>
                <w:lang w:val="en-IN"/>
              </w:rPr>
              <w:t>Clause no. 11</w:t>
            </w:r>
          </w:p>
        </w:tc>
        <w:tc>
          <w:tcPr>
            <w:tcW w:w="3615" w:type="pct"/>
            <w:shd w:val="clear" w:color="auto" w:fill="auto"/>
            <w:hideMark/>
          </w:tcPr>
          <w:p w14:paraId="1CB04C3D" w14:textId="24FAFB3C" w:rsidR="00B016DE" w:rsidRPr="0008017E" w:rsidRDefault="00B016DE" w:rsidP="00F9543C">
            <w:pPr>
              <w:tabs>
                <w:tab w:val="left" w:pos="11820"/>
              </w:tabs>
              <w:spacing w:after="120" w:line="240" w:lineRule="auto"/>
              <w:rPr>
                <w:rFonts w:eastAsia="Times New Roman" w:cs="Calibri"/>
                <w:b/>
                <w:i/>
                <w:szCs w:val="20"/>
                <w:lang w:val="en-IN"/>
              </w:rPr>
            </w:pPr>
            <w:r w:rsidRPr="00CA2BC9">
              <w:rPr>
                <w:rFonts w:eastAsia="Times New Roman" w:cs="Calibri"/>
                <w:szCs w:val="20"/>
                <w:lang w:val="en-IN"/>
              </w:rPr>
              <w:t xml:space="preserve">The </w:t>
            </w:r>
            <w:r>
              <w:rPr>
                <w:rFonts w:eastAsia="Times New Roman" w:cs="Calibri"/>
                <w:szCs w:val="20"/>
                <w:lang w:val="en-IN"/>
              </w:rPr>
              <w:t>Contractor</w:t>
            </w:r>
            <w:r w:rsidRPr="00CA2BC9">
              <w:rPr>
                <w:rFonts w:eastAsia="Times New Roman" w:cs="Calibri"/>
                <w:szCs w:val="20"/>
                <w:lang w:val="en-IN"/>
              </w:rPr>
              <w:t xml:space="preserve"> shall perform the Works at </w:t>
            </w:r>
            <w:r>
              <w:rPr>
                <w:rFonts w:eastAsia="Times New Roman" w:cs="Calibri"/>
                <w:szCs w:val="20"/>
                <w:lang w:val="en-IN"/>
              </w:rPr>
              <w:t xml:space="preserve">Sardar Vallabhbhai Patel </w:t>
            </w:r>
            <w:r w:rsidRPr="00CA2BC9">
              <w:rPr>
                <w:rFonts w:eastAsia="Times New Roman" w:cs="Calibri"/>
                <w:szCs w:val="20"/>
                <w:lang w:val="en-IN"/>
              </w:rPr>
              <w:t>International Airport, Ahmedabad and shall have access to the Site from effective date after getting all statutory permissions.</w:t>
            </w:r>
          </w:p>
        </w:tc>
      </w:tr>
      <w:tr w:rsidR="00B016DE" w:rsidRPr="0008017E" w14:paraId="602917B0" w14:textId="77777777" w:rsidTr="00B016DE">
        <w:tc>
          <w:tcPr>
            <w:tcW w:w="212" w:type="pct"/>
            <w:shd w:val="clear" w:color="auto" w:fill="auto"/>
          </w:tcPr>
          <w:p w14:paraId="712147FA"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24D33104" w14:textId="5C869F5F" w:rsidR="00B016DE" w:rsidRPr="0008017E" w:rsidRDefault="00B016DE" w:rsidP="00F9543C">
            <w:pPr>
              <w:spacing w:after="120" w:line="240" w:lineRule="auto"/>
              <w:rPr>
                <w:rFonts w:eastAsia="Times New Roman" w:cs="Calibri"/>
                <w:b/>
                <w:bCs/>
                <w:szCs w:val="20"/>
                <w:lang w:val="en-IN"/>
              </w:rPr>
            </w:pPr>
            <w:r>
              <w:rPr>
                <w:rFonts w:eastAsia="Times New Roman" w:cs="Calibri"/>
                <w:b/>
                <w:bCs/>
                <w:szCs w:val="20"/>
                <w:lang w:val="en-IN"/>
              </w:rPr>
              <w:t>Mobilisation</w:t>
            </w:r>
          </w:p>
        </w:tc>
        <w:tc>
          <w:tcPr>
            <w:tcW w:w="518" w:type="pct"/>
          </w:tcPr>
          <w:p w14:paraId="630964C3" w14:textId="108FE2F6" w:rsidR="00B016DE" w:rsidRDefault="00B016DE" w:rsidP="00F9543C">
            <w:pPr>
              <w:spacing w:after="120" w:line="240" w:lineRule="auto"/>
              <w:rPr>
                <w:rFonts w:eastAsia="Times New Roman" w:cs="Calibri"/>
                <w:szCs w:val="20"/>
                <w:lang w:val="en-IN"/>
              </w:rPr>
            </w:pPr>
            <w:r>
              <w:rPr>
                <w:rFonts w:eastAsia="Times New Roman" w:cs="Calibri"/>
                <w:szCs w:val="20"/>
                <w:lang w:val="en-IN"/>
              </w:rPr>
              <w:t>Clause no. 11</w:t>
            </w:r>
          </w:p>
        </w:tc>
        <w:tc>
          <w:tcPr>
            <w:tcW w:w="3615" w:type="pct"/>
            <w:shd w:val="clear" w:color="auto" w:fill="auto"/>
          </w:tcPr>
          <w:p w14:paraId="550C2F35" w14:textId="2138D2B9" w:rsidR="00B016DE" w:rsidRPr="00CA2BC9" w:rsidRDefault="00B016DE" w:rsidP="00F9543C">
            <w:pPr>
              <w:tabs>
                <w:tab w:val="left" w:pos="11820"/>
              </w:tabs>
              <w:spacing w:after="120" w:line="240" w:lineRule="auto"/>
              <w:rPr>
                <w:rFonts w:eastAsia="Times New Roman" w:cs="Calibri"/>
                <w:szCs w:val="20"/>
                <w:lang w:val="en-IN"/>
              </w:rPr>
            </w:pPr>
            <w:r>
              <w:rPr>
                <w:rFonts w:eastAsia="Times New Roman" w:cs="Calibri"/>
                <w:szCs w:val="20"/>
                <w:lang w:val="en-IN"/>
              </w:rPr>
              <w:t>The Contractor</w:t>
            </w:r>
            <w:r w:rsidRPr="00B95A3C">
              <w:rPr>
                <w:rFonts w:eastAsia="Times New Roman" w:cs="Calibri"/>
                <w:szCs w:val="20"/>
                <w:lang w:val="en-IN"/>
              </w:rPr>
              <w:t xml:space="preserve"> must complete mobilization in all aspect </w:t>
            </w:r>
            <w:r>
              <w:rPr>
                <w:rFonts w:eastAsia="Times New Roman" w:cs="Calibri"/>
                <w:szCs w:val="20"/>
                <w:lang w:val="en-IN"/>
              </w:rPr>
              <w:t>within Fifteen (15</w:t>
            </w:r>
            <w:r w:rsidRPr="0038438B">
              <w:rPr>
                <w:rFonts w:eastAsia="Times New Roman" w:cs="Calibri"/>
                <w:szCs w:val="20"/>
                <w:lang w:val="en-IN"/>
              </w:rPr>
              <w:t xml:space="preserve">) </w:t>
            </w:r>
            <w:r>
              <w:rPr>
                <w:rFonts w:eastAsia="Times New Roman" w:cs="Calibri"/>
                <w:szCs w:val="20"/>
                <w:lang w:val="en-IN"/>
              </w:rPr>
              <w:t>days.</w:t>
            </w:r>
          </w:p>
        </w:tc>
      </w:tr>
      <w:tr w:rsidR="00B016DE" w:rsidRPr="0008017E" w14:paraId="7C1620A5" w14:textId="77777777" w:rsidTr="00B016DE">
        <w:tc>
          <w:tcPr>
            <w:tcW w:w="212" w:type="pct"/>
            <w:shd w:val="clear" w:color="auto" w:fill="auto"/>
          </w:tcPr>
          <w:p w14:paraId="673220A5"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091B405F" w14:textId="04B8EE81" w:rsidR="00B016DE" w:rsidRPr="0008017E" w:rsidDel="00EF07B7"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Completion Schedule</w:t>
            </w:r>
          </w:p>
        </w:tc>
        <w:tc>
          <w:tcPr>
            <w:tcW w:w="518" w:type="pct"/>
          </w:tcPr>
          <w:p w14:paraId="05185558" w14:textId="7B02AD16" w:rsidR="00B016DE" w:rsidRDefault="00B016DE" w:rsidP="00F9543C">
            <w:pPr>
              <w:spacing w:after="120" w:line="240" w:lineRule="auto"/>
              <w:rPr>
                <w:rFonts w:eastAsia="Times New Roman" w:cs="Calibri"/>
                <w:szCs w:val="20"/>
                <w:lang w:val="en-IN"/>
              </w:rPr>
            </w:pPr>
            <w:r>
              <w:rPr>
                <w:rFonts w:eastAsia="Times New Roman" w:cs="Calibri"/>
                <w:szCs w:val="20"/>
                <w:lang w:val="en-IN"/>
              </w:rPr>
              <w:t>Clause no. 9.2</w:t>
            </w:r>
          </w:p>
        </w:tc>
        <w:tc>
          <w:tcPr>
            <w:tcW w:w="3615" w:type="pct"/>
            <w:shd w:val="clear" w:color="auto" w:fill="auto"/>
          </w:tcPr>
          <w:p w14:paraId="75813B99" w14:textId="6F2AFA5B" w:rsidR="00B016DE" w:rsidRPr="0008017E" w:rsidRDefault="00B016DE" w:rsidP="00F9543C">
            <w:pPr>
              <w:tabs>
                <w:tab w:val="left" w:pos="11820"/>
              </w:tabs>
              <w:spacing w:after="120" w:line="240" w:lineRule="auto"/>
              <w:rPr>
                <w:rFonts w:eastAsia="Times New Roman" w:cs="Calibri"/>
                <w:szCs w:val="20"/>
                <w:lang w:val="en-IN"/>
              </w:rPr>
            </w:pPr>
            <w:r>
              <w:rPr>
                <w:rFonts w:eastAsia="Times New Roman" w:cs="Calibri"/>
                <w:szCs w:val="20"/>
                <w:lang w:val="en-IN"/>
              </w:rPr>
              <w:t>Contractor</w:t>
            </w:r>
            <w:r w:rsidRPr="00CA2BC9">
              <w:rPr>
                <w:rFonts w:eastAsia="Times New Roman" w:cs="Calibri"/>
                <w:szCs w:val="20"/>
                <w:lang w:val="en-IN"/>
              </w:rPr>
              <w:t xml:space="preserve"> shall perform the Works and achieve Completion within </w:t>
            </w:r>
            <w:r>
              <w:rPr>
                <w:rFonts w:eastAsia="Times New Roman" w:cs="Calibri"/>
                <w:szCs w:val="20"/>
                <w:lang w:val="en-IN"/>
              </w:rPr>
              <w:t>4</w:t>
            </w:r>
            <w:r w:rsidRPr="00CA2BC9">
              <w:rPr>
                <w:rFonts w:eastAsia="Times New Roman" w:cs="Calibri"/>
                <w:szCs w:val="20"/>
                <w:lang w:val="en-IN"/>
              </w:rPr>
              <w:t xml:space="preserve"> months</w:t>
            </w:r>
            <w:r>
              <w:rPr>
                <w:rFonts w:eastAsia="Times New Roman" w:cs="Calibri"/>
                <w:szCs w:val="20"/>
                <w:lang w:val="en-IN"/>
              </w:rPr>
              <w:t xml:space="preserve">, </w:t>
            </w:r>
            <w:r w:rsidRPr="0038438B">
              <w:rPr>
                <w:rFonts w:eastAsia="Times New Roman" w:cs="Calibri"/>
                <w:szCs w:val="20"/>
                <w:lang w:val="en-IN"/>
              </w:rPr>
              <w:t xml:space="preserve">which is </w:t>
            </w:r>
            <w:r>
              <w:rPr>
                <w:rFonts w:eastAsia="Times New Roman" w:cs="Calibri"/>
                <w:szCs w:val="20"/>
                <w:lang w:val="en-IN"/>
              </w:rPr>
              <w:t>in</w:t>
            </w:r>
            <w:r w:rsidRPr="0038438B">
              <w:rPr>
                <w:rFonts w:eastAsia="Times New Roman" w:cs="Calibri"/>
                <w:szCs w:val="20"/>
                <w:lang w:val="en-IN"/>
              </w:rPr>
              <w:t>clusive of mobilisation period.</w:t>
            </w:r>
          </w:p>
        </w:tc>
      </w:tr>
      <w:tr w:rsidR="00B016DE" w:rsidRPr="0008017E" w14:paraId="7DD8D13F" w14:textId="77777777" w:rsidTr="00B016DE">
        <w:tc>
          <w:tcPr>
            <w:tcW w:w="212" w:type="pct"/>
            <w:vMerge w:val="restart"/>
            <w:shd w:val="clear" w:color="auto" w:fill="auto"/>
          </w:tcPr>
          <w:p w14:paraId="6FC2A611"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0A92C818" w14:textId="0C557D59" w:rsidR="00B016DE" w:rsidRPr="0008017E"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Basic Price</w:t>
            </w:r>
          </w:p>
        </w:tc>
        <w:tc>
          <w:tcPr>
            <w:tcW w:w="518" w:type="pct"/>
          </w:tcPr>
          <w:p w14:paraId="2D411905" w14:textId="30B72E43" w:rsidR="00B016DE" w:rsidRPr="0038438B" w:rsidRDefault="00B016DE" w:rsidP="00F9543C">
            <w:pPr>
              <w:spacing w:after="120" w:line="240" w:lineRule="auto"/>
              <w:rPr>
                <w:rFonts w:eastAsia="Times New Roman" w:cs="Calibri"/>
                <w:szCs w:val="20"/>
                <w:lang w:val="en-IN"/>
              </w:rPr>
            </w:pPr>
            <w:r>
              <w:rPr>
                <w:rFonts w:eastAsia="Times New Roman" w:cs="Calibri"/>
                <w:szCs w:val="20"/>
                <w:lang w:val="en-IN"/>
              </w:rPr>
              <w:t>Clause no. 4.1</w:t>
            </w:r>
          </w:p>
        </w:tc>
        <w:tc>
          <w:tcPr>
            <w:tcW w:w="3615" w:type="pct"/>
            <w:shd w:val="clear" w:color="auto" w:fill="auto"/>
          </w:tcPr>
          <w:p w14:paraId="0D3CD46E" w14:textId="34681546" w:rsidR="00B016DE" w:rsidRPr="0038438B" w:rsidRDefault="00B016DE" w:rsidP="00F9543C">
            <w:pPr>
              <w:tabs>
                <w:tab w:val="left" w:pos="11820"/>
              </w:tabs>
              <w:spacing w:after="120" w:line="240" w:lineRule="auto"/>
              <w:rPr>
                <w:rFonts w:eastAsia="Times New Roman" w:cs="Calibri"/>
                <w:szCs w:val="20"/>
                <w:lang w:val="en-IN"/>
              </w:rPr>
            </w:pPr>
            <w:r w:rsidRPr="0038438B">
              <w:rPr>
                <w:rFonts w:eastAsia="Times New Roman" w:cs="Calibri"/>
                <w:szCs w:val="20"/>
                <w:lang w:val="en-IN"/>
              </w:rPr>
              <w:t>The Basic Price shall be as specified in the Price Schedule set out in ‘Annexure I: Price Schedule’ and shall be payable on a BOQ basis. The Basic Price shall be inclusive of applicable Taxes (except GST &amp; BOCW), and other statutory charges, gratuity amounts, cost of materials, consumables, tools and tackles, insurance charges, margin, overheads, charges for Bank Guarantees and other costs associated with the performance of the Scope of Work. No escalation wil</w:t>
            </w:r>
            <w:r>
              <w:rPr>
                <w:rFonts w:eastAsia="Times New Roman" w:cs="Calibri"/>
                <w:szCs w:val="20"/>
                <w:lang w:val="en-IN"/>
              </w:rPr>
              <w:t>l be paid for the order period.</w:t>
            </w:r>
          </w:p>
          <w:p w14:paraId="71AE34A2" w14:textId="77777777" w:rsidR="00B016DE" w:rsidRPr="0038438B" w:rsidRDefault="00B016DE" w:rsidP="00F9543C">
            <w:pPr>
              <w:tabs>
                <w:tab w:val="left" w:pos="11820"/>
              </w:tabs>
              <w:spacing w:after="120" w:line="240" w:lineRule="auto"/>
              <w:rPr>
                <w:rFonts w:eastAsia="Times New Roman" w:cs="Calibri"/>
                <w:szCs w:val="20"/>
                <w:lang w:val="en-IN"/>
              </w:rPr>
            </w:pPr>
            <w:r w:rsidRPr="0038438B">
              <w:rPr>
                <w:rFonts w:eastAsia="Times New Roman" w:cs="Calibri"/>
                <w:szCs w:val="20"/>
                <w:lang w:val="en-IN"/>
              </w:rPr>
              <w:t>The unit rates quoted in the BOQ shall remain firm and fixed for the duration of the Contract (“Unit Rates”) and are not subject to adjustment for any reason whatsoever. The Contractor acknowledges and agrees that the quantities specified in the BOQ may vary based on actual execution of the Work and that the Unit Rate is not contingent on the quantity mentioned in the BOQ. The item description/ list of items provided in this BOQ is indicative and is to be read in conjunction with Specifications and other Contract Documents for complete understanding of his scope/ intent/ obligation/ risks/ li</w:t>
            </w:r>
            <w:r>
              <w:rPr>
                <w:rFonts w:eastAsia="Times New Roman" w:cs="Calibri"/>
                <w:szCs w:val="20"/>
                <w:lang w:val="en-IN"/>
              </w:rPr>
              <w:t xml:space="preserve">abilities under this Contract. </w:t>
            </w:r>
          </w:p>
          <w:p w14:paraId="28856B2D" w14:textId="43261F4A" w:rsidR="00B016DE" w:rsidRPr="0008017E" w:rsidRDefault="00B016DE" w:rsidP="00F9543C">
            <w:pPr>
              <w:tabs>
                <w:tab w:val="left" w:pos="11820"/>
              </w:tabs>
              <w:spacing w:after="120" w:line="240" w:lineRule="auto"/>
              <w:rPr>
                <w:rFonts w:eastAsia="Times New Roman" w:cs="Calibri"/>
                <w:szCs w:val="20"/>
                <w:lang w:val="en-IN"/>
              </w:rPr>
            </w:pPr>
            <w:r w:rsidRPr="0038438B">
              <w:rPr>
                <w:rFonts w:eastAsia="Times New Roman" w:cs="Calibri"/>
                <w:szCs w:val="20"/>
                <w:lang w:val="en-IN"/>
              </w:rPr>
              <w:t>The Works shall include all enabling works required for execution of Works. The Contractor shall maintain all Works in progress or completed until the Works are accepted by the Employer, based on the acceptance of the Authority and the Independent Engineer. The Contractor shall repair, rework, or replace as necessary any work damaged or lost due to normal wear and tear, anticipated events, or conditions within its control until it has been accepted and transferred to Employer. However, such acceptance by Employer does not waive obligation of Contractor under the Contract towards the Works. No separate payment shall be made for such maintenance costs which are deemed to be included in the Contract Price.</w:t>
            </w:r>
          </w:p>
        </w:tc>
      </w:tr>
      <w:tr w:rsidR="00B016DE" w:rsidRPr="0008017E" w14:paraId="194654FE" w14:textId="77777777" w:rsidTr="00B016DE">
        <w:tc>
          <w:tcPr>
            <w:tcW w:w="212" w:type="pct"/>
            <w:vMerge/>
            <w:shd w:val="clear" w:color="auto" w:fill="auto"/>
          </w:tcPr>
          <w:p w14:paraId="7EF017BC" w14:textId="77777777" w:rsidR="00B016DE" w:rsidRPr="0008017E" w:rsidRDefault="00B016DE" w:rsidP="00F9543C">
            <w:pPr>
              <w:pStyle w:val="ListParagraph"/>
              <w:spacing w:after="120" w:line="240" w:lineRule="auto"/>
              <w:ind w:left="0"/>
              <w:contextualSpacing w:val="0"/>
              <w:rPr>
                <w:rFonts w:eastAsia="Times New Roman" w:cs="Calibri"/>
                <w:b/>
                <w:bCs/>
                <w:szCs w:val="20"/>
                <w:lang w:val="en-IN"/>
              </w:rPr>
            </w:pPr>
          </w:p>
        </w:tc>
        <w:tc>
          <w:tcPr>
            <w:tcW w:w="655" w:type="pct"/>
            <w:shd w:val="clear" w:color="auto" w:fill="auto"/>
          </w:tcPr>
          <w:p w14:paraId="5BCB94C3" w14:textId="0DC1BE25" w:rsidR="00B016DE" w:rsidRPr="0008017E"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SO Price</w:t>
            </w:r>
          </w:p>
        </w:tc>
        <w:tc>
          <w:tcPr>
            <w:tcW w:w="518" w:type="pct"/>
          </w:tcPr>
          <w:p w14:paraId="2E2B2513" w14:textId="7E76912F"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w:t>
            </w:r>
          </w:p>
        </w:tc>
        <w:tc>
          <w:tcPr>
            <w:tcW w:w="3615" w:type="pct"/>
            <w:shd w:val="clear" w:color="auto" w:fill="auto"/>
          </w:tcPr>
          <w:p w14:paraId="2C16D448" w14:textId="0D909077" w:rsidR="00B016DE" w:rsidRPr="0008017E" w:rsidRDefault="00B016DE" w:rsidP="00F9543C">
            <w:pPr>
              <w:tabs>
                <w:tab w:val="left" w:pos="11820"/>
              </w:tabs>
              <w:spacing w:after="120" w:line="240" w:lineRule="auto"/>
              <w:rPr>
                <w:rFonts w:eastAsia="Times New Roman" w:cs="Calibri"/>
                <w:szCs w:val="20"/>
                <w:lang w:val="en-IN"/>
              </w:rPr>
            </w:pPr>
            <w:r w:rsidRPr="00361F82">
              <w:rPr>
                <w:rFonts w:eastAsia="Times New Roman" w:cs="Calibri"/>
                <w:szCs w:val="20"/>
                <w:lang w:val="en-IN"/>
              </w:rPr>
              <w:t xml:space="preserve">The SO Price shall be as specified in the Price Schedule set out in ‘Annexure </w:t>
            </w:r>
            <w:r>
              <w:rPr>
                <w:rFonts w:eastAsia="Times New Roman" w:cs="Calibri"/>
                <w:szCs w:val="20"/>
                <w:lang w:val="en-IN"/>
              </w:rPr>
              <w:t xml:space="preserve">– </w:t>
            </w:r>
            <w:r w:rsidRPr="00361F82">
              <w:rPr>
                <w:rFonts w:eastAsia="Times New Roman" w:cs="Calibri"/>
                <w:szCs w:val="20"/>
                <w:lang w:val="en-IN"/>
              </w:rPr>
              <w:t xml:space="preserve">I: Price Schedule’, </w:t>
            </w:r>
            <w:r w:rsidRPr="0038438B">
              <w:rPr>
                <w:rFonts w:eastAsia="Times New Roman" w:cs="Calibri"/>
                <w:szCs w:val="20"/>
                <w:lang w:val="en-IN"/>
              </w:rPr>
              <w:t>which is excluding GST and BOCW Cess.</w:t>
            </w:r>
          </w:p>
        </w:tc>
      </w:tr>
      <w:tr w:rsidR="00B016DE" w:rsidRPr="0008017E" w14:paraId="74C0EBE8" w14:textId="77777777" w:rsidTr="00B016DE">
        <w:tc>
          <w:tcPr>
            <w:tcW w:w="212" w:type="pct"/>
            <w:shd w:val="clear" w:color="auto" w:fill="auto"/>
            <w:hideMark/>
          </w:tcPr>
          <w:p w14:paraId="01E059BF"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hideMark/>
          </w:tcPr>
          <w:p w14:paraId="16DFB19B" w14:textId="36DED5F4" w:rsidR="00B016DE" w:rsidRPr="0008017E" w:rsidRDefault="00B016DE" w:rsidP="00F9543C">
            <w:pPr>
              <w:spacing w:after="120" w:line="240" w:lineRule="auto"/>
              <w:rPr>
                <w:rFonts w:eastAsia="Times New Roman" w:cs="Calibri"/>
                <w:b/>
                <w:bCs/>
                <w:szCs w:val="20"/>
                <w:lang w:val="en-IN"/>
              </w:rPr>
            </w:pPr>
            <w:r>
              <w:rPr>
                <w:rFonts w:eastAsia="Times New Roman" w:cs="Calibri"/>
                <w:b/>
                <w:bCs/>
                <w:szCs w:val="20"/>
                <w:lang w:val="en-IN"/>
              </w:rPr>
              <w:t>Taxes</w:t>
            </w:r>
          </w:p>
        </w:tc>
        <w:tc>
          <w:tcPr>
            <w:tcW w:w="518" w:type="pct"/>
          </w:tcPr>
          <w:p w14:paraId="74ABB90B" w14:textId="25ACB7E7"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Clause no. 6.1</w:t>
            </w:r>
          </w:p>
        </w:tc>
        <w:tc>
          <w:tcPr>
            <w:tcW w:w="3615" w:type="pct"/>
            <w:shd w:val="clear" w:color="auto" w:fill="auto"/>
            <w:hideMark/>
          </w:tcPr>
          <w:p w14:paraId="1584B6D2" w14:textId="4C1B6220" w:rsidR="00B016DE" w:rsidRDefault="00B016DE" w:rsidP="00F9543C">
            <w:pPr>
              <w:tabs>
                <w:tab w:val="left" w:pos="11820"/>
              </w:tabs>
              <w:spacing w:after="120" w:line="240" w:lineRule="auto"/>
              <w:rPr>
                <w:rFonts w:eastAsia="Times New Roman" w:cs="Calibri"/>
                <w:szCs w:val="20"/>
                <w:lang w:val="en-IN"/>
              </w:rPr>
            </w:pPr>
            <w:r w:rsidRPr="00361F82">
              <w:rPr>
                <w:rFonts w:eastAsia="Times New Roman" w:cs="Calibri"/>
                <w:szCs w:val="20"/>
                <w:lang w:val="en-IN"/>
              </w:rPr>
              <w:t xml:space="preserve">GST shall be paid at actuals, as per the rates specified in the Price Schedule set out in ‘Annexure </w:t>
            </w:r>
            <w:r>
              <w:rPr>
                <w:rFonts w:eastAsia="Times New Roman" w:cs="Calibri"/>
                <w:szCs w:val="20"/>
                <w:lang w:val="en-IN"/>
              </w:rPr>
              <w:t xml:space="preserve">– </w:t>
            </w:r>
            <w:r w:rsidRPr="00361F82">
              <w:rPr>
                <w:rFonts w:eastAsia="Times New Roman" w:cs="Calibri"/>
                <w:szCs w:val="20"/>
                <w:lang w:val="en-IN"/>
              </w:rPr>
              <w:t>I: Price Schedule’. BOCW Cess, if applicable, shall be directly paid by the Employer.</w:t>
            </w:r>
          </w:p>
          <w:p w14:paraId="375BB0A3" w14:textId="1F666245" w:rsidR="00B016DE" w:rsidRPr="0008017E" w:rsidRDefault="00B016DE" w:rsidP="00F9543C">
            <w:pPr>
              <w:tabs>
                <w:tab w:val="left" w:pos="11820"/>
              </w:tabs>
              <w:spacing w:after="120" w:line="240" w:lineRule="auto"/>
              <w:rPr>
                <w:rFonts w:eastAsia="Times New Roman" w:cs="Calibri"/>
                <w:i/>
                <w:szCs w:val="20"/>
                <w:lang w:val="en-IN"/>
              </w:rPr>
            </w:pPr>
            <w:r w:rsidRPr="0038438B">
              <w:rPr>
                <w:rFonts w:eastAsia="Times New Roman" w:cs="Calibri"/>
                <w:szCs w:val="20"/>
                <w:lang w:val="en-IN"/>
              </w:rPr>
              <w:t>All Invoices will be paid in two stages (a) Base Amount (b) Tax Amount. Contractor shall ensure timely updation of GSTR-1 and GSTR-3. In case Contractor fails to do so, Tax Amount will be held and paid only after Contractor provides sufficient proof that the GST amount charged in its invoice is declared in GSTR-1 and GSTR-3 returns and payment of taxes has been made.</w:t>
            </w:r>
          </w:p>
        </w:tc>
      </w:tr>
      <w:tr w:rsidR="00B016DE" w:rsidRPr="0008017E" w14:paraId="2E35EA66" w14:textId="77777777" w:rsidTr="00B016DE">
        <w:tc>
          <w:tcPr>
            <w:tcW w:w="212" w:type="pct"/>
            <w:shd w:val="clear" w:color="auto" w:fill="auto"/>
          </w:tcPr>
          <w:p w14:paraId="726EAA73"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1A8DE302" w14:textId="73E5D7A4" w:rsidR="00B016DE" w:rsidRPr="0008017E" w:rsidRDefault="00B016DE" w:rsidP="00F9543C">
            <w:pPr>
              <w:spacing w:after="120" w:line="240" w:lineRule="auto"/>
              <w:rPr>
                <w:rFonts w:eastAsia="Times New Roman" w:cs="Calibri"/>
                <w:b/>
                <w:bCs/>
                <w:szCs w:val="20"/>
                <w:lang w:val="en-IN"/>
              </w:rPr>
            </w:pPr>
            <w:r w:rsidRPr="00361F82">
              <w:rPr>
                <w:rFonts w:eastAsia="Times New Roman" w:cs="Calibri"/>
                <w:b/>
                <w:bCs/>
                <w:szCs w:val="20"/>
                <w:lang w:val="en-IN"/>
              </w:rPr>
              <w:t>Free Issue Material</w:t>
            </w:r>
          </w:p>
        </w:tc>
        <w:tc>
          <w:tcPr>
            <w:tcW w:w="518" w:type="pct"/>
          </w:tcPr>
          <w:p w14:paraId="0540479B" w14:textId="6E17EE42"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Clause no. 20.1</w:t>
            </w:r>
          </w:p>
        </w:tc>
        <w:tc>
          <w:tcPr>
            <w:tcW w:w="3615" w:type="pct"/>
            <w:shd w:val="clear" w:color="auto" w:fill="auto"/>
          </w:tcPr>
          <w:p w14:paraId="504A867D" w14:textId="28CAE848" w:rsidR="00B016DE" w:rsidRDefault="00B016DE" w:rsidP="00F9543C">
            <w:pPr>
              <w:tabs>
                <w:tab w:val="left" w:pos="11820"/>
              </w:tabs>
              <w:spacing w:after="120" w:line="240" w:lineRule="auto"/>
              <w:rPr>
                <w:rFonts w:eastAsia="Times New Roman" w:cs="Calibri"/>
                <w:szCs w:val="20"/>
                <w:highlight w:val="cyan"/>
                <w:lang w:val="en-IN"/>
              </w:rPr>
            </w:pPr>
            <w:r w:rsidRPr="00361F82">
              <w:rPr>
                <w:rFonts w:eastAsia="Times New Roman" w:cs="Calibri"/>
                <w:szCs w:val="20"/>
                <w:lang w:val="en-IN"/>
              </w:rPr>
              <w:t>Nil</w:t>
            </w:r>
          </w:p>
        </w:tc>
      </w:tr>
      <w:tr w:rsidR="00B016DE" w:rsidRPr="0008017E" w14:paraId="0FE3F015" w14:textId="77777777" w:rsidTr="00B016DE">
        <w:tc>
          <w:tcPr>
            <w:tcW w:w="212" w:type="pct"/>
            <w:shd w:val="clear" w:color="auto" w:fill="auto"/>
          </w:tcPr>
          <w:p w14:paraId="10C7E0DD"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5F0A3907" w14:textId="20F141B8" w:rsidR="00B016DE" w:rsidRPr="0008017E" w:rsidRDefault="00B016DE" w:rsidP="00F9543C">
            <w:pPr>
              <w:spacing w:after="120" w:line="240" w:lineRule="auto"/>
              <w:rPr>
                <w:rFonts w:eastAsia="Times New Roman" w:cs="Calibri"/>
                <w:b/>
                <w:bCs/>
                <w:szCs w:val="20"/>
                <w:lang w:val="en-IN"/>
              </w:rPr>
            </w:pPr>
            <w:r w:rsidRPr="00361F82">
              <w:rPr>
                <w:rFonts w:eastAsia="Times New Roman" w:cs="Calibri"/>
                <w:b/>
                <w:bCs/>
                <w:szCs w:val="20"/>
                <w:lang w:val="en-IN"/>
              </w:rPr>
              <w:t>Utilities and Facilities</w:t>
            </w:r>
          </w:p>
        </w:tc>
        <w:tc>
          <w:tcPr>
            <w:tcW w:w="518" w:type="pct"/>
          </w:tcPr>
          <w:p w14:paraId="59E401B5" w14:textId="271C55E9"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Clause no. 12.1</w:t>
            </w:r>
          </w:p>
        </w:tc>
        <w:tc>
          <w:tcPr>
            <w:tcW w:w="3615" w:type="pct"/>
            <w:shd w:val="clear" w:color="auto" w:fill="auto"/>
          </w:tcPr>
          <w:p w14:paraId="263AAAF8" w14:textId="409A1495" w:rsidR="00B016DE" w:rsidRDefault="00B016DE" w:rsidP="00B016DE">
            <w:pPr>
              <w:tabs>
                <w:tab w:val="left" w:pos="11820"/>
              </w:tabs>
              <w:spacing w:after="120" w:line="240" w:lineRule="auto"/>
              <w:rPr>
                <w:rFonts w:eastAsia="Times New Roman" w:cs="Calibri"/>
                <w:szCs w:val="20"/>
                <w:highlight w:val="cyan"/>
                <w:lang w:val="en-IN"/>
              </w:rPr>
            </w:pPr>
            <w:r w:rsidRPr="00B016DE">
              <w:rPr>
                <w:rFonts w:eastAsia="Times New Roman" w:cs="Calibri"/>
                <w:szCs w:val="20"/>
              </w:rPr>
              <w:t>There will not be any free issue utilities and facilities by employer for the subject work. However, Water and Electricity shall be provided at single point location on chargeable basis at Site. Further distribution of the same as per the requirement shall be in contractor’s scope at no extra cost to Employer.</w:t>
            </w:r>
          </w:p>
        </w:tc>
      </w:tr>
      <w:tr w:rsidR="00B016DE" w:rsidRPr="0008017E" w14:paraId="1216475E" w14:textId="77777777" w:rsidTr="00B016DE">
        <w:tc>
          <w:tcPr>
            <w:tcW w:w="212" w:type="pct"/>
            <w:shd w:val="clear" w:color="auto" w:fill="auto"/>
            <w:hideMark/>
          </w:tcPr>
          <w:p w14:paraId="66F14BD4"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hideMark/>
          </w:tcPr>
          <w:p w14:paraId="51F6E918" w14:textId="4E03CD1A" w:rsidR="00B016DE" w:rsidRPr="0008017E"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Payment Terms</w:t>
            </w:r>
          </w:p>
        </w:tc>
        <w:tc>
          <w:tcPr>
            <w:tcW w:w="518" w:type="pct"/>
          </w:tcPr>
          <w:p w14:paraId="1074CA7B" w14:textId="05188FE8" w:rsidR="00B016DE" w:rsidRPr="00AA363A" w:rsidRDefault="00B016DE" w:rsidP="00AA363A">
            <w:pPr>
              <w:spacing w:after="120" w:line="240" w:lineRule="auto"/>
              <w:rPr>
                <w:rFonts w:eastAsia="Times New Roman" w:cs="Calibri"/>
                <w:szCs w:val="20"/>
                <w:lang w:val="en-IN"/>
              </w:rPr>
            </w:pPr>
            <w:r w:rsidRPr="00AA363A">
              <w:rPr>
                <w:rFonts w:eastAsia="Times New Roman" w:cs="Calibri"/>
                <w:szCs w:val="20"/>
                <w:lang w:val="en-IN"/>
              </w:rPr>
              <w:t>Clause no. 5.1, 5.2, 5.3</w:t>
            </w:r>
          </w:p>
        </w:tc>
        <w:tc>
          <w:tcPr>
            <w:tcW w:w="3615" w:type="pct"/>
            <w:shd w:val="clear" w:color="auto" w:fill="auto"/>
            <w:hideMark/>
          </w:tcPr>
          <w:p w14:paraId="2184B916" w14:textId="0EDF28A8" w:rsidR="00B016DE" w:rsidRPr="001B3129" w:rsidRDefault="00B016DE" w:rsidP="009E034A">
            <w:pPr>
              <w:pStyle w:val="ListParagraph"/>
              <w:numPr>
                <w:ilvl w:val="0"/>
                <w:numId w:val="1"/>
              </w:numPr>
              <w:spacing w:after="120" w:line="240" w:lineRule="auto"/>
              <w:ind w:left="360"/>
              <w:contextualSpacing w:val="0"/>
              <w:rPr>
                <w:rFonts w:eastAsia="Times New Roman" w:cs="Calibri"/>
                <w:szCs w:val="20"/>
                <w:lang w:val="en-IN"/>
              </w:rPr>
            </w:pPr>
            <w:r w:rsidRPr="001B3129">
              <w:rPr>
                <w:rFonts w:eastAsia="Times New Roman" w:cs="Calibri"/>
                <w:szCs w:val="20"/>
                <w:lang w:val="en-IN"/>
              </w:rPr>
              <w:t xml:space="preserve">5% of the Basic Price (along with applicable GST payable on such Basic Price) shall be paid as mobilisation advance within 30 days from the date of receipt of invoice: one (1) set of original and two (2) sets of copies &amp; </w:t>
            </w:r>
            <w:r>
              <w:rPr>
                <w:rFonts w:eastAsia="Times New Roman" w:cs="Calibri"/>
                <w:szCs w:val="20"/>
                <w:lang w:val="en-IN"/>
              </w:rPr>
              <w:t>A</w:t>
            </w:r>
            <w:r w:rsidRPr="001B3129">
              <w:rPr>
                <w:rFonts w:eastAsia="Times New Roman" w:cs="Calibri"/>
                <w:szCs w:val="20"/>
                <w:lang w:val="en-IN"/>
              </w:rPr>
              <w:t>dvance Payment Bank Guarantee.</w:t>
            </w:r>
          </w:p>
          <w:p w14:paraId="7BBD585B" w14:textId="5EB87FB0" w:rsidR="00B016DE" w:rsidRPr="00361F82" w:rsidRDefault="00B016DE" w:rsidP="009E034A">
            <w:pPr>
              <w:pStyle w:val="ListParagraph"/>
              <w:numPr>
                <w:ilvl w:val="0"/>
                <w:numId w:val="1"/>
              </w:numPr>
              <w:spacing w:after="120" w:line="240" w:lineRule="auto"/>
              <w:ind w:left="360"/>
              <w:contextualSpacing w:val="0"/>
              <w:rPr>
                <w:rFonts w:eastAsia="Times New Roman" w:cs="Calibri"/>
                <w:b/>
                <w:bCs/>
                <w:szCs w:val="20"/>
                <w:u w:val="single"/>
                <w:lang w:val="en-IN"/>
              </w:rPr>
            </w:pPr>
            <w:r w:rsidRPr="0041367B">
              <w:rPr>
                <w:rFonts w:eastAsia="Times New Roman" w:cs="Calibri"/>
                <w:szCs w:val="20"/>
                <w:lang w:val="en-IN"/>
              </w:rPr>
              <w:t>5% of the Basic Price (along with applicable GST payable on such Basic Pric</w:t>
            </w:r>
            <w:r>
              <w:rPr>
                <w:rFonts w:eastAsia="Times New Roman" w:cs="Calibri"/>
                <w:szCs w:val="20"/>
                <w:lang w:val="en-IN"/>
              </w:rPr>
              <w:t>e) shall be paid as advance</w:t>
            </w:r>
            <w:r w:rsidRPr="0041367B">
              <w:rPr>
                <w:rFonts w:eastAsia="Times New Roman" w:cs="Calibri"/>
                <w:szCs w:val="20"/>
                <w:lang w:val="en-IN"/>
              </w:rPr>
              <w:t xml:space="preserve"> post physical mobilization of defined set of Equipment at site </w:t>
            </w:r>
            <w:r>
              <w:rPr>
                <w:rFonts w:eastAsia="Times New Roman" w:cs="Calibri"/>
                <w:szCs w:val="20"/>
                <w:lang w:val="en-IN"/>
              </w:rPr>
              <w:t xml:space="preserve">&amp; submission of </w:t>
            </w:r>
            <w:r w:rsidRPr="0041367B">
              <w:rPr>
                <w:rFonts w:eastAsia="Times New Roman" w:cs="Calibri"/>
                <w:szCs w:val="20"/>
                <w:lang w:val="en-IN"/>
              </w:rPr>
              <w:t>Contract Performance Bank Guarantee</w:t>
            </w:r>
            <w:r>
              <w:rPr>
                <w:rFonts w:eastAsia="Times New Roman" w:cs="Calibri"/>
                <w:szCs w:val="20"/>
                <w:lang w:val="en-IN"/>
              </w:rPr>
              <w:t xml:space="preserve"> </w:t>
            </w:r>
            <w:r w:rsidRPr="0041367B">
              <w:rPr>
                <w:rFonts w:eastAsia="Times New Roman" w:cs="Calibri"/>
                <w:szCs w:val="20"/>
                <w:lang w:val="en-IN"/>
              </w:rPr>
              <w:t>and</w:t>
            </w:r>
            <w:r>
              <w:rPr>
                <w:rFonts w:eastAsia="Times New Roman" w:cs="Calibri"/>
                <w:szCs w:val="20"/>
                <w:lang w:val="en-IN"/>
              </w:rPr>
              <w:t xml:space="preserve"> </w:t>
            </w:r>
            <w:r w:rsidRPr="00361F82">
              <w:rPr>
                <w:rFonts w:eastAsia="Times New Roman" w:cs="Calibri"/>
                <w:szCs w:val="20"/>
                <w:lang w:val="en-IN"/>
              </w:rPr>
              <w:t>certificate issued by the Employer for satisfactory mobilisation at the Site.</w:t>
            </w:r>
          </w:p>
          <w:p w14:paraId="29F39352" w14:textId="0E499CD5" w:rsidR="00B016DE" w:rsidRPr="00757035" w:rsidRDefault="00B016DE" w:rsidP="009E034A">
            <w:pPr>
              <w:pStyle w:val="ListParagraph"/>
              <w:numPr>
                <w:ilvl w:val="0"/>
                <w:numId w:val="1"/>
              </w:numPr>
              <w:autoSpaceDE w:val="0"/>
              <w:autoSpaceDN w:val="0"/>
              <w:adjustRightInd w:val="0"/>
              <w:spacing w:line="240" w:lineRule="auto"/>
              <w:ind w:left="360"/>
              <w:rPr>
                <w:rFonts w:cs="Adani-Light"/>
                <w:szCs w:val="19"/>
              </w:rPr>
            </w:pPr>
            <w:r w:rsidRPr="00E9058F">
              <w:rPr>
                <w:rFonts w:cs="Adani-Light"/>
                <w:szCs w:val="19"/>
              </w:rPr>
              <w:t>The recovery of the mobilization shall commence from each progressive payment and shall be completely recovered when 9</w:t>
            </w:r>
            <w:r>
              <w:rPr>
                <w:rFonts w:cs="Adani-Light"/>
                <w:szCs w:val="19"/>
              </w:rPr>
              <w:t>0</w:t>
            </w:r>
            <w:r w:rsidRPr="00E9058F">
              <w:rPr>
                <w:rFonts w:cs="Adani-Light"/>
                <w:szCs w:val="19"/>
              </w:rPr>
              <w:t>% of the awarded Contract Price of the work has been certified. In case at the time of certification of the final bill there is still any advance remaining unrecovered, the same shall be recovered from the final bill.</w:t>
            </w:r>
          </w:p>
          <w:p w14:paraId="006778CD" w14:textId="77777777" w:rsidR="00B016DE" w:rsidRPr="00361F82" w:rsidRDefault="00B016DE" w:rsidP="009E034A">
            <w:pPr>
              <w:pStyle w:val="ListParagraph"/>
              <w:numPr>
                <w:ilvl w:val="0"/>
                <w:numId w:val="1"/>
              </w:numPr>
              <w:tabs>
                <w:tab w:val="left" w:pos="11820"/>
              </w:tabs>
              <w:spacing w:after="120" w:line="240" w:lineRule="auto"/>
              <w:ind w:left="360"/>
              <w:contextualSpacing w:val="0"/>
              <w:rPr>
                <w:rFonts w:eastAsia="Times New Roman" w:cs="Calibri"/>
                <w:szCs w:val="20"/>
                <w:lang w:val="en-IN"/>
              </w:rPr>
            </w:pPr>
            <w:r w:rsidRPr="00361F82">
              <w:rPr>
                <w:rFonts w:eastAsia="Times New Roman" w:cs="Calibri"/>
                <w:szCs w:val="20"/>
                <w:lang w:val="en-IN"/>
              </w:rPr>
              <w:t xml:space="preserve">Each progressive bill shall be raised </w:t>
            </w:r>
            <w:r>
              <w:rPr>
                <w:rFonts w:eastAsia="Times New Roman" w:cs="Calibri"/>
                <w:szCs w:val="20"/>
                <w:lang w:val="en-IN"/>
              </w:rPr>
              <w:t>mont</w:t>
            </w:r>
            <w:r w:rsidRPr="00361F82">
              <w:rPr>
                <w:rFonts w:eastAsia="Times New Roman" w:cs="Calibri"/>
                <w:szCs w:val="20"/>
                <w:lang w:val="en-IN"/>
              </w:rPr>
              <w:t>hly, and payment shall be done after adjusting Advance Payment recovery</w:t>
            </w:r>
            <w:r>
              <w:rPr>
                <w:rFonts w:eastAsia="Times New Roman" w:cs="Calibri"/>
                <w:szCs w:val="20"/>
                <w:lang w:val="en-IN"/>
              </w:rPr>
              <w:t xml:space="preserve"> (if any)</w:t>
            </w:r>
            <w:r w:rsidRPr="00361F82">
              <w:rPr>
                <w:rFonts w:eastAsia="Times New Roman" w:cs="Calibri"/>
                <w:szCs w:val="20"/>
                <w:lang w:val="en-IN"/>
              </w:rPr>
              <w:t>, the Retention amount, and any other adjustment as per Contr</w:t>
            </w:r>
            <w:r>
              <w:rPr>
                <w:rFonts w:eastAsia="Times New Roman" w:cs="Calibri"/>
                <w:szCs w:val="20"/>
                <w:lang w:val="en-IN"/>
              </w:rPr>
              <w:t xml:space="preserve">actual provisions </w:t>
            </w:r>
            <w:r w:rsidRPr="00361F82">
              <w:rPr>
                <w:rFonts w:eastAsia="Times New Roman" w:cs="Calibri"/>
                <w:szCs w:val="20"/>
                <w:lang w:val="en-IN"/>
              </w:rPr>
              <w:t xml:space="preserve">within </w:t>
            </w:r>
            <w:r>
              <w:rPr>
                <w:rFonts w:eastAsia="Times New Roman" w:cs="Calibri"/>
                <w:szCs w:val="20"/>
                <w:lang w:val="en-IN"/>
              </w:rPr>
              <w:t>30</w:t>
            </w:r>
            <w:r w:rsidRPr="00361F82">
              <w:rPr>
                <w:rFonts w:eastAsia="Times New Roman" w:cs="Calibri"/>
                <w:szCs w:val="20"/>
                <w:lang w:val="en-IN"/>
              </w:rPr>
              <w:t xml:space="preserve"> days of receipt of RA bill upon submission &amp; verification of the Running Account Bill (in a manner and form as specified herein) and the following documents:</w:t>
            </w:r>
          </w:p>
          <w:p w14:paraId="1C91F2F1"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361F82">
              <w:rPr>
                <w:rFonts w:eastAsia="Times New Roman" w:cs="Calibri"/>
                <w:szCs w:val="20"/>
                <w:lang w:val="en-IN"/>
              </w:rPr>
              <w:t>tax invoice, including details such as item number, Contractor’s GST identification number and permanent account number: one (1) set of original and two (2) sets of copies.</w:t>
            </w:r>
          </w:p>
          <w:p w14:paraId="2621D04F"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57C97">
              <w:rPr>
                <w:rFonts w:eastAsia="Times New Roman" w:cs="Calibri"/>
                <w:szCs w:val="20"/>
                <w:lang w:val="en-IN"/>
              </w:rPr>
              <w:t>inspection release note and/or measurement sheets duly certified by the Employer’s representative.</w:t>
            </w:r>
          </w:p>
          <w:p w14:paraId="7A4136DF"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57C97">
              <w:rPr>
                <w:rFonts w:eastAsia="Times New Roman" w:cs="Calibri"/>
                <w:szCs w:val="20"/>
                <w:lang w:val="en-IN"/>
              </w:rPr>
              <w:t>reconciliation statement of Free Issue Materials (if applicable</w:t>
            </w:r>
            <w:proofErr w:type="gramStart"/>
            <w:r w:rsidRPr="00B57C97">
              <w:rPr>
                <w:rFonts w:eastAsia="Times New Roman" w:cs="Calibri"/>
                <w:szCs w:val="20"/>
                <w:lang w:val="en-IN"/>
              </w:rPr>
              <w:t>);</w:t>
            </w:r>
            <w:proofErr w:type="gramEnd"/>
          </w:p>
          <w:p w14:paraId="32E2F07D"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57C97">
              <w:rPr>
                <w:rFonts w:eastAsia="Times New Roman" w:cs="Calibri"/>
                <w:szCs w:val="20"/>
                <w:lang w:val="en-IN"/>
              </w:rPr>
              <w:t xml:space="preserve">copy of insurance policies to be procured by </w:t>
            </w:r>
            <w:r>
              <w:rPr>
                <w:rFonts w:eastAsia="Times New Roman" w:cs="Calibri"/>
                <w:szCs w:val="20"/>
                <w:lang w:val="en-IN"/>
              </w:rPr>
              <w:t>Contractor</w:t>
            </w:r>
            <w:r w:rsidRPr="00B57C97">
              <w:rPr>
                <w:rFonts w:eastAsia="Times New Roman" w:cs="Calibri"/>
                <w:szCs w:val="20"/>
                <w:lang w:val="en-IN"/>
              </w:rPr>
              <w:t>; and</w:t>
            </w:r>
          </w:p>
          <w:p w14:paraId="4730BF68" w14:textId="77777777" w:rsidR="00B016DE" w:rsidRPr="00B57C97"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57C97">
              <w:rPr>
                <w:rFonts w:eastAsia="Times New Roman" w:cs="Calibri"/>
                <w:szCs w:val="20"/>
                <w:lang w:val="en-IN"/>
              </w:rPr>
              <w:t>copy of statutory registrations as required for performance of the Works under the SO Documents.</w:t>
            </w:r>
          </w:p>
          <w:p w14:paraId="342BC403" w14:textId="77777777" w:rsidR="00B016DE" w:rsidRDefault="00B016DE" w:rsidP="009E034A">
            <w:pPr>
              <w:pStyle w:val="ListParagraph"/>
              <w:numPr>
                <w:ilvl w:val="0"/>
                <w:numId w:val="1"/>
              </w:numPr>
              <w:tabs>
                <w:tab w:val="left" w:pos="11820"/>
              </w:tabs>
              <w:spacing w:after="120" w:line="240" w:lineRule="auto"/>
              <w:ind w:left="360"/>
              <w:contextualSpacing w:val="0"/>
              <w:rPr>
                <w:rFonts w:eastAsia="Times New Roman" w:cs="Calibri"/>
                <w:szCs w:val="20"/>
                <w:lang w:val="en-IN"/>
              </w:rPr>
            </w:pPr>
            <w:r w:rsidRPr="00361F82">
              <w:rPr>
                <w:rFonts w:eastAsia="Times New Roman" w:cs="Calibri"/>
                <w:szCs w:val="20"/>
                <w:lang w:val="en-IN"/>
              </w:rPr>
              <w:t xml:space="preserve">Final Bill shall be paid within </w:t>
            </w:r>
            <w:r>
              <w:rPr>
                <w:rFonts w:eastAsia="Times New Roman" w:cs="Calibri"/>
                <w:szCs w:val="20"/>
                <w:lang w:val="en-IN"/>
              </w:rPr>
              <w:t>6</w:t>
            </w:r>
            <w:r w:rsidRPr="00361F82">
              <w:rPr>
                <w:rFonts w:eastAsia="Times New Roman" w:cs="Calibri"/>
                <w:szCs w:val="20"/>
                <w:lang w:val="en-IN"/>
              </w:rPr>
              <w:t>0 days after Commissioning and on submission of the following documents:</w:t>
            </w:r>
          </w:p>
          <w:p w14:paraId="0E0B68A8"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673EB">
              <w:rPr>
                <w:rFonts w:eastAsia="Times New Roman" w:cs="Calibri"/>
                <w:szCs w:val="20"/>
                <w:lang w:val="en-IN"/>
              </w:rPr>
              <w:t>[Final Invoice]: one (1) set of original and two (2) sets of copies.</w:t>
            </w:r>
          </w:p>
          <w:p w14:paraId="66BAA608"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673EB">
              <w:rPr>
                <w:rFonts w:eastAsia="Times New Roman" w:cs="Calibri"/>
                <w:szCs w:val="20"/>
                <w:lang w:val="en-IN"/>
              </w:rPr>
              <w:t xml:space="preserve">Provisional Acceptance Certificate issued by the Employer. </w:t>
            </w:r>
          </w:p>
          <w:p w14:paraId="2180792B"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673EB">
              <w:rPr>
                <w:rFonts w:eastAsia="Times New Roman" w:cs="Calibri"/>
                <w:szCs w:val="20"/>
                <w:lang w:val="en-IN"/>
              </w:rPr>
              <w:t xml:space="preserve">Performance Bank Guarantee. </w:t>
            </w:r>
          </w:p>
          <w:p w14:paraId="58B52E8D"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673EB">
              <w:rPr>
                <w:rFonts w:eastAsia="Times New Roman" w:cs="Calibri"/>
                <w:szCs w:val="20"/>
                <w:lang w:val="en-IN"/>
              </w:rPr>
              <w:t>final reconciliation statement of Free Issue Material (if applicable).</w:t>
            </w:r>
          </w:p>
          <w:p w14:paraId="39C7BF73" w14:textId="77777777" w:rsidR="00B016DE"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673EB">
              <w:rPr>
                <w:rFonts w:eastAsia="Times New Roman" w:cs="Calibri"/>
                <w:szCs w:val="20"/>
                <w:lang w:val="en-IN"/>
              </w:rPr>
              <w:t>[no-claim certificate for release of final payment]; and</w:t>
            </w:r>
          </w:p>
          <w:p w14:paraId="103C96EF" w14:textId="3F086BA7" w:rsidR="00B016DE" w:rsidRPr="00871675" w:rsidRDefault="00B016DE" w:rsidP="009E034A">
            <w:pPr>
              <w:pStyle w:val="ListParagraph"/>
              <w:numPr>
                <w:ilvl w:val="1"/>
                <w:numId w:val="1"/>
              </w:numPr>
              <w:tabs>
                <w:tab w:val="left" w:pos="11820"/>
              </w:tabs>
              <w:spacing w:after="120" w:line="240" w:lineRule="auto"/>
              <w:ind w:left="792" w:hanging="432"/>
              <w:contextualSpacing w:val="0"/>
              <w:rPr>
                <w:rFonts w:eastAsia="Times New Roman" w:cs="Calibri"/>
                <w:szCs w:val="20"/>
                <w:lang w:val="en-IN"/>
              </w:rPr>
            </w:pPr>
            <w:r w:rsidRPr="00B673EB">
              <w:rPr>
                <w:rFonts w:eastAsia="Times New Roman" w:cs="Calibri"/>
                <w:szCs w:val="20"/>
                <w:lang w:val="en-IN"/>
              </w:rPr>
              <w:t>[undertaking for compliance with labour laws].</w:t>
            </w:r>
          </w:p>
        </w:tc>
      </w:tr>
      <w:tr w:rsidR="00B016DE" w:rsidRPr="0008017E" w14:paraId="5498904A" w14:textId="77777777" w:rsidTr="00B016DE">
        <w:tc>
          <w:tcPr>
            <w:tcW w:w="212" w:type="pct"/>
            <w:vMerge w:val="restart"/>
            <w:shd w:val="clear" w:color="auto" w:fill="auto"/>
            <w:hideMark/>
          </w:tcPr>
          <w:p w14:paraId="6726BCCE" w14:textId="0EBA633E"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hideMark/>
          </w:tcPr>
          <w:p w14:paraId="54262BF0" w14:textId="79A4F15B" w:rsidR="00B016DE" w:rsidRPr="0008017E" w:rsidRDefault="00B016DE" w:rsidP="00F9543C">
            <w:pPr>
              <w:spacing w:after="120" w:line="240" w:lineRule="auto"/>
              <w:rPr>
                <w:rFonts w:eastAsia="Times New Roman" w:cs="Calibri"/>
                <w:b/>
                <w:bCs/>
                <w:szCs w:val="20"/>
                <w:lang w:val="en-IN"/>
              </w:rPr>
            </w:pPr>
            <w:r w:rsidRPr="00361F82">
              <w:rPr>
                <w:rFonts w:eastAsia="Times New Roman" w:cs="Calibri"/>
                <w:b/>
                <w:bCs/>
                <w:szCs w:val="20"/>
                <w:lang w:val="en-IN"/>
              </w:rPr>
              <w:t>Delay Liquidated Damages</w:t>
            </w:r>
          </w:p>
        </w:tc>
        <w:tc>
          <w:tcPr>
            <w:tcW w:w="518" w:type="pct"/>
          </w:tcPr>
          <w:p w14:paraId="6D65C008" w14:textId="1A557CF8"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Clause no. 25.1</w:t>
            </w:r>
          </w:p>
        </w:tc>
        <w:tc>
          <w:tcPr>
            <w:tcW w:w="3615" w:type="pct"/>
            <w:shd w:val="clear" w:color="auto" w:fill="auto"/>
            <w:hideMark/>
          </w:tcPr>
          <w:p w14:paraId="0F55B06B" w14:textId="34DFF89E" w:rsidR="00B016DE" w:rsidRPr="0008017E" w:rsidRDefault="00B016DE" w:rsidP="00F9543C">
            <w:pPr>
              <w:tabs>
                <w:tab w:val="left" w:pos="11820"/>
              </w:tabs>
              <w:spacing w:after="120" w:line="240" w:lineRule="auto"/>
              <w:rPr>
                <w:rFonts w:eastAsia="Times New Roman" w:cs="Calibri"/>
                <w:szCs w:val="20"/>
                <w:lang w:val="en-IN"/>
              </w:rPr>
            </w:pPr>
            <w:r w:rsidRPr="00361F82">
              <w:rPr>
                <w:rFonts w:eastAsia="Times New Roman" w:cs="Calibri"/>
                <w:szCs w:val="20"/>
                <w:lang w:val="en-IN"/>
              </w:rPr>
              <w:t>[</w:t>
            </w:r>
            <w:r>
              <w:rPr>
                <w:rFonts w:eastAsia="Times New Roman" w:cs="Calibri"/>
                <w:szCs w:val="20"/>
                <w:lang w:val="en-IN"/>
              </w:rPr>
              <w:t>One</w:t>
            </w:r>
            <w:r w:rsidRPr="00361F82">
              <w:rPr>
                <w:rFonts w:eastAsia="Times New Roman" w:cs="Calibri"/>
                <w:szCs w:val="20"/>
                <w:lang w:val="en-IN"/>
              </w:rPr>
              <w:t>] percent ([</w:t>
            </w:r>
            <w:r>
              <w:rPr>
                <w:rFonts w:eastAsia="Times New Roman" w:cs="Calibri"/>
                <w:szCs w:val="20"/>
                <w:lang w:val="en-IN"/>
              </w:rPr>
              <w:t>1</w:t>
            </w:r>
            <w:r w:rsidRPr="00361F82">
              <w:rPr>
                <w:rFonts w:eastAsia="Times New Roman" w:cs="Calibri"/>
                <w:szCs w:val="20"/>
                <w:lang w:val="en-IN"/>
              </w:rPr>
              <w:t>] %) of the SO Price (along with applicable GST), for each completed week of delay or part thereof, subject to a maximum of [</w:t>
            </w:r>
            <w:r>
              <w:rPr>
                <w:rFonts w:eastAsia="Times New Roman" w:cs="Calibri"/>
                <w:szCs w:val="20"/>
                <w:lang w:val="en-IN"/>
              </w:rPr>
              <w:t>Ten</w:t>
            </w:r>
            <w:r w:rsidRPr="00361F82">
              <w:rPr>
                <w:rFonts w:eastAsia="Times New Roman" w:cs="Calibri"/>
                <w:szCs w:val="20"/>
                <w:lang w:val="en-IN"/>
              </w:rPr>
              <w:t>] percent ([</w:t>
            </w:r>
            <w:r>
              <w:rPr>
                <w:rFonts w:eastAsia="Times New Roman" w:cs="Calibri"/>
                <w:szCs w:val="20"/>
                <w:lang w:val="en-IN"/>
              </w:rPr>
              <w:t>10</w:t>
            </w:r>
            <w:r w:rsidRPr="00361F82">
              <w:rPr>
                <w:rFonts w:eastAsia="Times New Roman" w:cs="Calibri"/>
                <w:szCs w:val="20"/>
                <w:lang w:val="en-IN"/>
              </w:rPr>
              <w:t xml:space="preserve">] %) of the SO Price. </w:t>
            </w:r>
          </w:p>
        </w:tc>
      </w:tr>
      <w:tr w:rsidR="00B016DE" w:rsidRPr="0008017E" w14:paraId="0072DF0F" w14:textId="77777777" w:rsidTr="00B016DE">
        <w:tc>
          <w:tcPr>
            <w:tcW w:w="212" w:type="pct"/>
            <w:vMerge/>
            <w:shd w:val="clear" w:color="auto" w:fill="auto"/>
          </w:tcPr>
          <w:p w14:paraId="43E13AF3" w14:textId="77777777" w:rsidR="00B016DE" w:rsidRPr="0008017E" w:rsidRDefault="00B016DE" w:rsidP="00F9543C">
            <w:pPr>
              <w:pStyle w:val="ListParagraph"/>
              <w:spacing w:after="120" w:line="240" w:lineRule="auto"/>
              <w:ind w:left="0"/>
              <w:contextualSpacing w:val="0"/>
              <w:rPr>
                <w:rFonts w:eastAsia="Times New Roman" w:cs="Calibri"/>
                <w:b/>
                <w:bCs/>
                <w:szCs w:val="20"/>
                <w:lang w:val="en-IN"/>
              </w:rPr>
            </w:pPr>
          </w:p>
        </w:tc>
        <w:tc>
          <w:tcPr>
            <w:tcW w:w="655" w:type="pct"/>
            <w:shd w:val="clear" w:color="auto" w:fill="auto"/>
          </w:tcPr>
          <w:p w14:paraId="329F57EA" w14:textId="371B4C9F" w:rsidR="00B016DE" w:rsidRPr="0008017E" w:rsidRDefault="00B016DE" w:rsidP="00F9543C">
            <w:pPr>
              <w:spacing w:after="120" w:line="240" w:lineRule="auto"/>
              <w:rPr>
                <w:rFonts w:eastAsia="Times New Roman" w:cs="Calibri"/>
                <w:b/>
                <w:bCs/>
                <w:szCs w:val="20"/>
                <w:lang w:val="en-IN"/>
              </w:rPr>
            </w:pPr>
            <w:r w:rsidRPr="00361F82">
              <w:rPr>
                <w:rFonts w:eastAsia="Times New Roman" w:cs="Calibri"/>
                <w:b/>
                <w:bCs/>
                <w:szCs w:val="20"/>
                <w:lang w:val="en-IN"/>
              </w:rPr>
              <w:t>Other liquidated damages</w:t>
            </w:r>
          </w:p>
        </w:tc>
        <w:tc>
          <w:tcPr>
            <w:tcW w:w="518" w:type="pct"/>
          </w:tcPr>
          <w:p w14:paraId="4D66D6D1" w14:textId="5CA7E6B9"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w:t>
            </w:r>
          </w:p>
        </w:tc>
        <w:tc>
          <w:tcPr>
            <w:tcW w:w="3615" w:type="pct"/>
            <w:shd w:val="clear" w:color="auto" w:fill="auto"/>
          </w:tcPr>
          <w:p w14:paraId="25FC8B78" w14:textId="64D4A563" w:rsidR="00B016DE" w:rsidRPr="0008017E" w:rsidRDefault="00B016DE" w:rsidP="00F9543C">
            <w:pPr>
              <w:tabs>
                <w:tab w:val="left" w:pos="11820"/>
              </w:tabs>
              <w:spacing w:after="120" w:line="240" w:lineRule="auto"/>
              <w:rPr>
                <w:rFonts w:eastAsia="Times New Roman" w:cs="Calibri"/>
                <w:szCs w:val="20"/>
                <w:highlight w:val="cyan"/>
                <w:lang w:val="en-IN"/>
              </w:rPr>
            </w:pPr>
            <w:r w:rsidRPr="00361F82">
              <w:rPr>
                <w:rFonts w:eastAsia="Times New Roman" w:cs="Calibri"/>
                <w:szCs w:val="20"/>
                <w:lang w:val="en-IN"/>
              </w:rPr>
              <w:t xml:space="preserve">Liquidated damages payable by </w:t>
            </w:r>
            <w:r>
              <w:rPr>
                <w:rFonts w:eastAsia="Times New Roman" w:cs="Calibri"/>
                <w:szCs w:val="20"/>
                <w:lang w:val="en-IN"/>
              </w:rPr>
              <w:t>Contractor</w:t>
            </w:r>
            <w:r w:rsidRPr="00361F82">
              <w:rPr>
                <w:rFonts w:eastAsia="Times New Roman" w:cs="Calibri"/>
                <w:szCs w:val="20"/>
                <w:lang w:val="en-IN"/>
              </w:rPr>
              <w:t xml:space="preserve"> for breach of: (i) Safety Requirements shall be levied at the rate as may be specified in ‘Annexure-I</w:t>
            </w:r>
            <w:r>
              <w:rPr>
                <w:rFonts w:eastAsia="Times New Roman" w:cs="Calibri"/>
                <w:szCs w:val="20"/>
                <w:lang w:val="en-IN"/>
              </w:rPr>
              <w:t>V</w:t>
            </w:r>
            <w:r w:rsidRPr="00361F82">
              <w:rPr>
                <w:rFonts w:eastAsia="Times New Roman" w:cs="Calibri"/>
                <w:szCs w:val="20"/>
                <w:lang w:val="en-IN"/>
              </w:rPr>
              <w:t>: Safety Requirements’; and (ii) Human Resources and Industrial Relations Requirements shall be levied at the rate as</w:t>
            </w:r>
            <w:r>
              <w:rPr>
                <w:rFonts w:eastAsia="Times New Roman" w:cs="Calibri"/>
                <w:szCs w:val="20"/>
                <w:lang w:val="en-IN"/>
              </w:rPr>
              <w:t xml:space="preserve"> may be specified in ‘Annexure-</w:t>
            </w:r>
            <w:r w:rsidRPr="00361F82">
              <w:rPr>
                <w:rFonts w:eastAsia="Times New Roman" w:cs="Calibri"/>
                <w:szCs w:val="20"/>
                <w:lang w:val="en-IN"/>
              </w:rPr>
              <w:t>V: Human Resources and Industrial Relations Requirements’.</w:t>
            </w:r>
          </w:p>
        </w:tc>
      </w:tr>
      <w:tr w:rsidR="00B016DE" w:rsidRPr="0008017E" w14:paraId="20AE6069" w14:textId="77777777" w:rsidTr="00B016DE">
        <w:tc>
          <w:tcPr>
            <w:tcW w:w="212" w:type="pct"/>
            <w:vMerge w:val="restart"/>
            <w:shd w:val="clear" w:color="auto" w:fill="auto"/>
            <w:hideMark/>
          </w:tcPr>
          <w:p w14:paraId="35020990"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hideMark/>
          </w:tcPr>
          <w:p w14:paraId="2A35A07F" w14:textId="36D7CE6C" w:rsidR="00B016DE" w:rsidRPr="0008017E" w:rsidRDefault="00B016DE" w:rsidP="00F9543C">
            <w:pPr>
              <w:spacing w:after="120" w:line="240" w:lineRule="auto"/>
              <w:rPr>
                <w:rFonts w:eastAsia="Times New Roman" w:cs="Calibri"/>
                <w:b/>
                <w:bCs/>
                <w:szCs w:val="20"/>
                <w:lang w:val="en-IN"/>
              </w:rPr>
            </w:pPr>
            <w:r w:rsidRPr="00361F82">
              <w:rPr>
                <w:rFonts w:eastAsia="Times New Roman" w:cs="Calibri"/>
                <w:b/>
                <w:bCs/>
                <w:szCs w:val="20"/>
                <w:lang w:val="en-IN"/>
              </w:rPr>
              <w:t>Advance Payment Bank Guarantee</w:t>
            </w:r>
          </w:p>
        </w:tc>
        <w:tc>
          <w:tcPr>
            <w:tcW w:w="518" w:type="pct"/>
          </w:tcPr>
          <w:p w14:paraId="64A45240" w14:textId="304B1CA0" w:rsidR="00B016DE" w:rsidRDefault="00B016DE" w:rsidP="00F9543C">
            <w:pPr>
              <w:spacing w:after="120" w:line="240" w:lineRule="auto"/>
              <w:rPr>
                <w:rFonts w:eastAsia="Times New Roman" w:cs="Calibri"/>
                <w:szCs w:val="20"/>
                <w:lang w:val="en-IN"/>
              </w:rPr>
            </w:pPr>
            <w:r>
              <w:rPr>
                <w:rFonts w:eastAsia="Times New Roman" w:cs="Calibri"/>
                <w:szCs w:val="20"/>
                <w:lang w:val="en-IN"/>
              </w:rPr>
              <w:t>Clause no. 8.1</w:t>
            </w:r>
          </w:p>
        </w:tc>
        <w:tc>
          <w:tcPr>
            <w:tcW w:w="3615" w:type="pct"/>
            <w:shd w:val="clear" w:color="auto" w:fill="auto"/>
            <w:hideMark/>
          </w:tcPr>
          <w:p w14:paraId="651B30DF" w14:textId="5F187308" w:rsidR="00B016DE" w:rsidRPr="0008017E" w:rsidRDefault="00B016DE" w:rsidP="00F9543C">
            <w:pPr>
              <w:tabs>
                <w:tab w:val="left" w:pos="11820"/>
              </w:tabs>
              <w:spacing w:after="120" w:line="240" w:lineRule="auto"/>
              <w:rPr>
                <w:rFonts w:eastAsia="Times New Roman" w:cs="Calibri"/>
                <w:szCs w:val="20"/>
                <w:lang w:val="en-IN"/>
              </w:rPr>
            </w:pPr>
            <w:r>
              <w:rPr>
                <w:rFonts w:eastAsia="Times New Roman" w:cs="Calibri"/>
                <w:szCs w:val="20"/>
                <w:lang w:val="en-IN"/>
              </w:rPr>
              <w:t>Contractor</w:t>
            </w:r>
            <w:r w:rsidRPr="00361F82">
              <w:rPr>
                <w:rFonts w:eastAsia="Times New Roman" w:cs="Calibri"/>
                <w:szCs w:val="20"/>
                <w:lang w:val="en-IN"/>
              </w:rPr>
              <w:t xml:space="preserve"> shall submit the Advance Payment Bank Guarantee in the form provided in ‘</w:t>
            </w:r>
            <w:r>
              <w:rPr>
                <w:szCs w:val="20"/>
              </w:rPr>
              <w:t>Appendix-I</w:t>
            </w:r>
            <w:r w:rsidRPr="00361F82">
              <w:rPr>
                <w:szCs w:val="20"/>
              </w:rPr>
              <w:t>I: Format of Advance Payment Bank Guarantee</w:t>
            </w:r>
            <w:r w:rsidRPr="00361F82">
              <w:rPr>
                <w:rFonts w:eastAsia="Times New Roman" w:cs="Calibri"/>
                <w:szCs w:val="20"/>
                <w:lang w:val="en-IN"/>
              </w:rPr>
              <w:t xml:space="preserve">’, for an </w:t>
            </w:r>
            <w:r>
              <w:rPr>
                <w:rFonts w:eastAsia="Times New Roman" w:cs="Calibri"/>
                <w:szCs w:val="20"/>
                <w:lang w:val="en-IN"/>
              </w:rPr>
              <w:t>amount equal to [Ten] percent 10</w:t>
            </w:r>
            <w:r w:rsidRPr="00361F82">
              <w:rPr>
                <w:rFonts w:eastAsia="Times New Roman" w:cs="Calibri"/>
                <w:szCs w:val="20"/>
                <w:lang w:val="en-IN"/>
              </w:rPr>
              <w:t xml:space="preserve">% of the </w:t>
            </w:r>
            <w:r>
              <w:rPr>
                <w:rFonts w:eastAsia="Times New Roman" w:cs="Calibri"/>
                <w:szCs w:val="20"/>
                <w:lang w:val="en-IN"/>
              </w:rPr>
              <w:t>Basic Contract</w:t>
            </w:r>
            <w:r w:rsidRPr="00361F82">
              <w:rPr>
                <w:rFonts w:eastAsia="Times New Roman" w:cs="Calibri"/>
                <w:szCs w:val="20"/>
                <w:lang w:val="en-IN"/>
              </w:rPr>
              <w:t xml:space="preserve"> Price</w:t>
            </w:r>
            <w:r>
              <w:rPr>
                <w:rFonts w:eastAsia="Times New Roman" w:cs="Calibri"/>
                <w:szCs w:val="20"/>
                <w:lang w:val="en-IN"/>
              </w:rPr>
              <w:t xml:space="preserve"> (excluding GST but including all other taxes)</w:t>
            </w:r>
            <w:r w:rsidRPr="00361F82">
              <w:rPr>
                <w:rFonts w:eastAsia="Times New Roman" w:cs="Calibri"/>
                <w:szCs w:val="20"/>
                <w:lang w:val="en-IN"/>
              </w:rPr>
              <w:t>, and which shall be valid and maintained in full force and effect till the date of Completion as per the Completion Schedule, with a claim period of [one (1) year] beyond such validity.</w:t>
            </w:r>
          </w:p>
        </w:tc>
      </w:tr>
      <w:tr w:rsidR="00B016DE" w:rsidRPr="0008017E" w14:paraId="5BE1C0C8" w14:textId="77777777" w:rsidTr="00B016DE">
        <w:tc>
          <w:tcPr>
            <w:tcW w:w="212" w:type="pct"/>
            <w:vMerge/>
            <w:shd w:val="clear" w:color="auto" w:fill="auto"/>
            <w:hideMark/>
          </w:tcPr>
          <w:p w14:paraId="5CB55098"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hideMark/>
          </w:tcPr>
          <w:p w14:paraId="32E1B6C1" w14:textId="5520141D" w:rsidR="00B016DE" w:rsidRPr="0008017E" w:rsidRDefault="00B016DE" w:rsidP="00F9543C">
            <w:pPr>
              <w:spacing w:after="120" w:line="240" w:lineRule="auto"/>
              <w:rPr>
                <w:rFonts w:eastAsia="Times New Roman" w:cs="Calibri"/>
                <w:b/>
                <w:bCs/>
                <w:szCs w:val="20"/>
                <w:lang w:val="en-IN"/>
              </w:rPr>
            </w:pPr>
            <w:r w:rsidRPr="00361F82">
              <w:rPr>
                <w:rFonts w:eastAsia="Times New Roman" w:cs="Calibri"/>
                <w:b/>
                <w:bCs/>
                <w:szCs w:val="20"/>
                <w:lang w:val="en-IN"/>
              </w:rPr>
              <w:t>Contract Performance cum Performance Bank Guarantee</w:t>
            </w:r>
          </w:p>
        </w:tc>
        <w:tc>
          <w:tcPr>
            <w:tcW w:w="518" w:type="pct"/>
          </w:tcPr>
          <w:p w14:paraId="503471D9" w14:textId="4C9602A9"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Clause no. 8.1</w:t>
            </w:r>
          </w:p>
        </w:tc>
        <w:tc>
          <w:tcPr>
            <w:tcW w:w="3615" w:type="pct"/>
            <w:shd w:val="clear" w:color="auto" w:fill="auto"/>
            <w:hideMark/>
          </w:tcPr>
          <w:p w14:paraId="26032561" w14:textId="7008CC40" w:rsidR="00B016DE" w:rsidRDefault="00B016DE" w:rsidP="00F9543C">
            <w:pPr>
              <w:tabs>
                <w:tab w:val="left" w:pos="11820"/>
              </w:tabs>
              <w:spacing w:after="120" w:line="240" w:lineRule="auto"/>
              <w:rPr>
                <w:rFonts w:eastAsia="Times New Roman" w:cs="Calibri"/>
                <w:szCs w:val="20"/>
                <w:lang w:val="en-IN"/>
              </w:rPr>
            </w:pPr>
            <w:r w:rsidRPr="00361F82">
              <w:rPr>
                <w:rFonts w:eastAsia="Times New Roman" w:cs="Calibri"/>
                <w:szCs w:val="20"/>
                <w:lang w:val="en-IN"/>
              </w:rPr>
              <w:t xml:space="preserve">Within Thirty (30) days from the Effective Date, </w:t>
            </w:r>
            <w:r>
              <w:rPr>
                <w:rFonts w:eastAsia="Times New Roman" w:cs="Calibri"/>
                <w:szCs w:val="20"/>
                <w:lang w:val="en-IN"/>
              </w:rPr>
              <w:t>Contractor</w:t>
            </w:r>
            <w:r w:rsidRPr="00361F82">
              <w:rPr>
                <w:rFonts w:eastAsia="Times New Roman" w:cs="Calibri"/>
                <w:szCs w:val="20"/>
                <w:lang w:val="en-IN"/>
              </w:rPr>
              <w:t xml:space="preserve"> shall submit the Contract Performance cum Performance Bank Guarantee, in the form provided in ‘</w:t>
            </w:r>
            <w:r>
              <w:rPr>
                <w:rFonts w:eastAsia="Times New Roman" w:cs="Calibri"/>
                <w:szCs w:val="20"/>
              </w:rPr>
              <w:t>Appendix-I</w:t>
            </w:r>
            <w:r w:rsidRPr="00361F82">
              <w:rPr>
                <w:rFonts w:eastAsia="Times New Roman" w:cs="Calibri"/>
                <w:szCs w:val="20"/>
              </w:rPr>
              <w:t>: Format of Contract Performance cum Performance Bank Guarantee</w:t>
            </w:r>
            <w:r w:rsidRPr="00361F82">
              <w:rPr>
                <w:rFonts w:eastAsia="Times New Roman" w:cs="Calibri"/>
                <w:szCs w:val="20"/>
                <w:lang w:val="en-IN"/>
              </w:rPr>
              <w:t>’, for an amount equal to [</w:t>
            </w:r>
            <w:r>
              <w:rPr>
                <w:rFonts w:eastAsia="Times New Roman" w:cs="Calibri"/>
                <w:szCs w:val="20"/>
                <w:lang w:val="en-IN"/>
              </w:rPr>
              <w:t>Ten</w:t>
            </w:r>
            <w:r w:rsidRPr="00361F82">
              <w:rPr>
                <w:rFonts w:eastAsia="Times New Roman" w:cs="Calibri"/>
                <w:szCs w:val="20"/>
                <w:lang w:val="en-IN"/>
              </w:rPr>
              <w:t>] percent ([</w:t>
            </w:r>
            <w:r>
              <w:rPr>
                <w:rFonts w:eastAsia="Times New Roman" w:cs="Calibri"/>
                <w:szCs w:val="20"/>
                <w:lang w:val="en-IN"/>
              </w:rPr>
              <w:t>10</w:t>
            </w:r>
            <w:r w:rsidRPr="00361F82">
              <w:rPr>
                <w:rFonts w:eastAsia="Times New Roman" w:cs="Calibri"/>
                <w:szCs w:val="20"/>
                <w:lang w:val="en-IN"/>
              </w:rPr>
              <w:t xml:space="preserve">] %) of the </w:t>
            </w:r>
            <w:r>
              <w:rPr>
                <w:rFonts w:eastAsia="Times New Roman" w:cs="Calibri"/>
                <w:szCs w:val="20"/>
                <w:lang w:val="en-IN"/>
              </w:rPr>
              <w:t>Basic Contract</w:t>
            </w:r>
            <w:r w:rsidRPr="00361F82">
              <w:rPr>
                <w:rFonts w:eastAsia="Times New Roman" w:cs="Calibri"/>
                <w:szCs w:val="20"/>
                <w:lang w:val="en-IN"/>
              </w:rPr>
              <w:t xml:space="preserve"> Price</w:t>
            </w:r>
            <w:r>
              <w:rPr>
                <w:rFonts w:eastAsia="Times New Roman" w:cs="Calibri"/>
                <w:szCs w:val="20"/>
                <w:lang w:val="en-IN"/>
              </w:rPr>
              <w:t xml:space="preserve"> (excluding GST but including all other taxes)</w:t>
            </w:r>
            <w:r w:rsidRPr="00361F82">
              <w:rPr>
                <w:rFonts w:eastAsia="Times New Roman" w:cs="Calibri"/>
                <w:szCs w:val="20"/>
                <w:lang w:val="en-IN"/>
              </w:rPr>
              <w:t xml:space="preserve">, which shall remain valid and effective till the expiry of the Defect Liability Period, with a claim period of [one (1) year] from the expiry of the Defect Liability Period. </w:t>
            </w:r>
          </w:p>
          <w:p w14:paraId="61BDC89D" w14:textId="77777777" w:rsidR="00B016DE" w:rsidRPr="0038438B" w:rsidRDefault="00B016DE" w:rsidP="00F9543C">
            <w:pPr>
              <w:tabs>
                <w:tab w:val="left" w:pos="11820"/>
              </w:tabs>
              <w:spacing w:after="120" w:line="240" w:lineRule="auto"/>
              <w:rPr>
                <w:szCs w:val="20"/>
                <w:lang w:val="en-IN"/>
              </w:rPr>
            </w:pPr>
            <w:r w:rsidRPr="0038438B">
              <w:rPr>
                <w:szCs w:val="20"/>
                <w:lang w:val="en-IN"/>
              </w:rPr>
              <w:t>OR</w:t>
            </w:r>
          </w:p>
          <w:p w14:paraId="44EE384E" w14:textId="56ED194D" w:rsidR="00B016DE" w:rsidRPr="0008017E" w:rsidRDefault="00B016DE" w:rsidP="00F9543C">
            <w:pPr>
              <w:tabs>
                <w:tab w:val="left" w:pos="11820"/>
              </w:tabs>
              <w:spacing w:after="120" w:line="240" w:lineRule="auto"/>
              <w:rPr>
                <w:szCs w:val="20"/>
                <w:lang w:val="en-IN"/>
              </w:rPr>
            </w:pPr>
            <w:r w:rsidRPr="0038438B">
              <w:rPr>
                <w:szCs w:val="20"/>
                <w:lang w:val="en-IN"/>
              </w:rPr>
              <w:t xml:space="preserve">In lieu of Contract Performance cum Performance Bank Guarantee, the Employer shall deduct </w:t>
            </w:r>
            <w:r>
              <w:rPr>
                <w:szCs w:val="20"/>
                <w:lang w:val="en-IN"/>
              </w:rPr>
              <w:t>Ten</w:t>
            </w:r>
            <w:r w:rsidRPr="0038438B">
              <w:rPr>
                <w:szCs w:val="20"/>
                <w:lang w:val="en-IN"/>
              </w:rPr>
              <w:t xml:space="preserve"> percent (</w:t>
            </w:r>
            <w:r>
              <w:rPr>
                <w:szCs w:val="20"/>
                <w:lang w:val="en-IN"/>
              </w:rPr>
              <w:t>10</w:t>
            </w:r>
            <w:r w:rsidRPr="0038438B">
              <w:rPr>
                <w:szCs w:val="20"/>
                <w:lang w:val="en-IN"/>
              </w:rPr>
              <w:t xml:space="preserve">%) </w:t>
            </w:r>
            <w:r>
              <w:rPr>
                <w:szCs w:val="20"/>
                <w:lang w:val="en-IN"/>
              </w:rPr>
              <w:t xml:space="preserve">of the </w:t>
            </w:r>
            <w:r>
              <w:rPr>
                <w:rFonts w:eastAsia="Times New Roman" w:cs="Calibri"/>
                <w:szCs w:val="20"/>
                <w:lang w:val="en-IN"/>
              </w:rPr>
              <w:t>Basic Contract</w:t>
            </w:r>
            <w:r w:rsidRPr="00361F82">
              <w:rPr>
                <w:rFonts w:eastAsia="Times New Roman" w:cs="Calibri"/>
                <w:szCs w:val="20"/>
                <w:lang w:val="en-IN"/>
              </w:rPr>
              <w:t xml:space="preserve"> Price</w:t>
            </w:r>
            <w:r>
              <w:rPr>
                <w:rFonts w:eastAsia="Times New Roman" w:cs="Calibri"/>
                <w:szCs w:val="20"/>
                <w:lang w:val="en-IN"/>
              </w:rPr>
              <w:t xml:space="preserve"> (excluding GST but including all taxes) </w:t>
            </w:r>
            <w:r w:rsidRPr="0038438B">
              <w:rPr>
                <w:szCs w:val="20"/>
                <w:lang w:val="en-IN"/>
              </w:rPr>
              <w:t>thereof as guaranteed money for performance of the obligations under the Contract from the payments to be made to the Contractor under clause 1</w:t>
            </w:r>
            <w:r>
              <w:rPr>
                <w:szCs w:val="20"/>
                <w:lang w:val="en-IN"/>
              </w:rPr>
              <w:t>0</w:t>
            </w:r>
            <w:r w:rsidRPr="0038438B">
              <w:rPr>
                <w:szCs w:val="20"/>
                <w:lang w:val="en-IN"/>
              </w:rPr>
              <w:t xml:space="preserve">, subject to the condition that the maximum amount such retained against Contract Performance cum Performance Bank Guarantee shall not exceed </w:t>
            </w:r>
            <w:r>
              <w:rPr>
                <w:szCs w:val="20"/>
                <w:lang w:val="en-IN"/>
              </w:rPr>
              <w:t>Ten</w:t>
            </w:r>
            <w:r w:rsidRPr="0038438B">
              <w:rPr>
                <w:szCs w:val="20"/>
                <w:lang w:val="en-IN"/>
              </w:rPr>
              <w:t xml:space="preserve"> percent (</w:t>
            </w:r>
            <w:r>
              <w:rPr>
                <w:szCs w:val="20"/>
                <w:lang w:val="en-IN"/>
              </w:rPr>
              <w:t>10</w:t>
            </w:r>
            <w:r w:rsidRPr="0038438B">
              <w:rPr>
                <w:szCs w:val="20"/>
                <w:lang w:val="en-IN"/>
              </w:rPr>
              <w:t xml:space="preserve">%) of the </w:t>
            </w:r>
            <w:r>
              <w:rPr>
                <w:rFonts w:eastAsia="Times New Roman" w:cs="Calibri"/>
                <w:szCs w:val="20"/>
                <w:lang w:val="en-IN"/>
              </w:rPr>
              <w:t>Basic Contract</w:t>
            </w:r>
            <w:r w:rsidRPr="00361F82">
              <w:rPr>
                <w:rFonts w:eastAsia="Times New Roman" w:cs="Calibri"/>
                <w:szCs w:val="20"/>
                <w:lang w:val="en-IN"/>
              </w:rPr>
              <w:t xml:space="preserve"> Price</w:t>
            </w:r>
            <w:r>
              <w:rPr>
                <w:rFonts w:eastAsia="Times New Roman" w:cs="Calibri"/>
                <w:szCs w:val="20"/>
                <w:lang w:val="en-IN"/>
              </w:rPr>
              <w:t xml:space="preserve"> (excluding GST but including all other taxes)</w:t>
            </w:r>
            <w:r w:rsidRPr="0038438B">
              <w:rPr>
                <w:szCs w:val="20"/>
                <w:lang w:val="en-IN"/>
              </w:rPr>
              <w:t>. The Employer shall release the retained amount on the expiry of the Defect Liability Period.</w:t>
            </w:r>
          </w:p>
        </w:tc>
      </w:tr>
      <w:tr w:rsidR="00B016DE" w:rsidRPr="0008017E" w14:paraId="16D1F5E8" w14:textId="77777777" w:rsidTr="00B016DE">
        <w:tc>
          <w:tcPr>
            <w:tcW w:w="212" w:type="pct"/>
            <w:shd w:val="clear" w:color="auto" w:fill="auto"/>
            <w:hideMark/>
          </w:tcPr>
          <w:p w14:paraId="78753BB4"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4480637F" w14:textId="5C15613E" w:rsidR="00B016DE" w:rsidRPr="0008017E" w:rsidRDefault="00B016DE" w:rsidP="00F9543C">
            <w:pPr>
              <w:spacing w:after="120" w:line="240" w:lineRule="auto"/>
              <w:rPr>
                <w:rFonts w:eastAsia="Times New Roman" w:cs="Calibri"/>
                <w:b/>
                <w:bCs/>
                <w:szCs w:val="20"/>
                <w:lang w:val="en-IN"/>
              </w:rPr>
            </w:pPr>
            <w:r w:rsidRPr="00361F82">
              <w:rPr>
                <w:rFonts w:eastAsia="Times New Roman" w:cs="Calibri"/>
                <w:b/>
                <w:bCs/>
                <w:szCs w:val="20"/>
                <w:lang w:val="en-IN"/>
              </w:rPr>
              <w:t>Insurance</w:t>
            </w:r>
          </w:p>
        </w:tc>
        <w:tc>
          <w:tcPr>
            <w:tcW w:w="518" w:type="pct"/>
          </w:tcPr>
          <w:p w14:paraId="354F413F" w14:textId="31F0F3BF" w:rsidR="00B016DE" w:rsidRPr="00F9543C" w:rsidRDefault="00B016DE" w:rsidP="00F9543C">
            <w:pPr>
              <w:spacing w:after="120" w:line="240" w:lineRule="auto"/>
              <w:rPr>
                <w:rFonts w:eastAsia="Times New Roman"/>
              </w:rPr>
            </w:pPr>
            <w:r w:rsidRPr="00F9543C">
              <w:rPr>
                <w:rFonts w:eastAsia="Times New Roman" w:cs="Calibri"/>
                <w:szCs w:val="20"/>
                <w:lang w:val="en-IN"/>
              </w:rPr>
              <w:t>Clause no. 21.1</w:t>
            </w:r>
          </w:p>
        </w:tc>
        <w:tc>
          <w:tcPr>
            <w:tcW w:w="3615" w:type="pct"/>
            <w:shd w:val="clear" w:color="auto" w:fill="auto"/>
          </w:tcPr>
          <w:p w14:paraId="507210F8" w14:textId="61407E2F" w:rsidR="00B016DE" w:rsidRPr="0008652C" w:rsidRDefault="00B016DE" w:rsidP="00F9543C">
            <w:pPr>
              <w:pStyle w:val="ListParagraph"/>
              <w:numPr>
                <w:ilvl w:val="0"/>
                <w:numId w:val="39"/>
              </w:numPr>
              <w:tabs>
                <w:tab w:val="left" w:pos="11820"/>
              </w:tabs>
              <w:spacing w:after="120" w:line="240" w:lineRule="auto"/>
              <w:rPr>
                <w:rFonts w:eastAsia="Times New Roman"/>
                <w:lang w:val="en-IN"/>
              </w:rPr>
            </w:pPr>
            <w:r w:rsidRPr="0008652C">
              <w:rPr>
                <w:rFonts w:eastAsia="Times New Roman"/>
              </w:rPr>
              <w:t>Construction/ Erection All Risks Insurance (CAR/ EAR Policy)</w:t>
            </w:r>
          </w:p>
          <w:p w14:paraId="3654DEB5" w14:textId="77777777" w:rsidR="00B016DE" w:rsidRPr="0008652C" w:rsidRDefault="00B016DE" w:rsidP="00F9543C">
            <w:pPr>
              <w:pStyle w:val="ListParagraph"/>
              <w:tabs>
                <w:tab w:val="left" w:pos="11820"/>
              </w:tabs>
              <w:spacing w:after="120" w:line="240" w:lineRule="auto"/>
            </w:pPr>
            <w:r w:rsidRPr="0008652C">
              <w:t>The Contractor shall effect and maintain Construction/ Erection All risks insurance or any such equivalent cover in conjunction with the execution of the Work against all risks of loss or damage to the Work for full replacement value which includes all supplies, spare parts and materials including Free Issue Material (as per the value intimated by the Employer) to be supplied to Contractor and/ or its Sub Contractors by Employer and which are to be incorporated into the Work until issuance of the Completion Certificate. CAR/ EAR Policy shall include Marine, Earthquake and Terrorist cover also. Wherever, erection and testing of equipment is involved, the cover must include the risk during testing period.</w:t>
            </w:r>
          </w:p>
          <w:p w14:paraId="70F09074" w14:textId="77777777" w:rsidR="00B016DE" w:rsidRPr="0008652C" w:rsidRDefault="00B016DE" w:rsidP="00F9543C">
            <w:pPr>
              <w:pStyle w:val="ListParagraph"/>
              <w:tabs>
                <w:tab w:val="left" w:pos="11820"/>
              </w:tabs>
              <w:spacing w:after="120" w:line="240" w:lineRule="auto"/>
              <w:rPr>
                <w:lang w:val="en-IN"/>
              </w:rPr>
            </w:pPr>
          </w:p>
          <w:p w14:paraId="57E2B603" w14:textId="77777777" w:rsidR="00B016DE" w:rsidRPr="0008652C" w:rsidRDefault="00B016DE" w:rsidP="00F9543C">
            <w:pPr>
              <w:pStyle w:val="ListParagraph"/>
              <w:numPr>
                <w:ilvl w:val="0"/>
                <w:numId w:val="39"/>
              </w:numPr>
              <w:tabs>
                <w:tab w:val="left" w:pos="11820"/>
              </w:tabs>
              <w:spacing w:after="120" w:line="240" w:lineRule="auto"/>
              <w:rPr>
                <w:rFonts w:eastAsia="Times New Roman"/>
                <w:lang w:val="en-IN"/>
              </w:rPr>
            </w:pPr>
            <w:r w:rsidRPr="0008652C">
              <w:rPr>
                <w:rFonts w:eastAsia="Times New Roman"/>
              </w:rPr>
              <w:t>Third Party Liability Insurance (Insurance against Personal Injury and Damage to Third Party Property including cross liability).</w:t>
            </w:r>
          </w:p>
          <w:p w14:paraId="11F289A0" w14:textId="6D77773C" w:rsidR="00B016DE" w:rsidRDefault="00B016DE" w:rsidP="00F9543C">
            <w:pPr>
              <w:pStyle w:val="ListParagraph"/>
              <w:tabs>
                <w:tab w:val="left" w:pos="11820"/>
              </w:tabs>
              <w:spacing w:after="120" w:line="240" w:lineRule="auto"/>
            </w:pPr>
            <w:r w:rsidRPr="0008652C">
              <w:t>The Contractor shall insure against any loss or damage, which may occur to any property owned by Employer/third party and/ or any Person (except persons insured under (Workmen’s Compensation), for death or bodily injury which may arise before the issue of the Completion Certificate, out of or in consequence of Contractor’s performance of the Work. Such policy shall include Contractual Liability.</w:t>
            </w:r>
          </w:p>
          <w:p w14:paraId="22F87719" w14:textId="77777777" w:rsidR="00B016DE" w:rsidRPr="00EF54C3" w:rsidRDefault="00B016DE" w:rsidP="00F9543C">
            <w:pPr>
              <w:pStyle w:val="ListParagraph"/>
              <w:tabs>
                <w:tab w:val="left" w:pos="11820"/>
              </w:tabs>
              <w:spacing w:after="120" w:line="240" w:lineRule="auto"/>
            </w:pPr>
          </w:p>
          <w:p w14:paraId="20967EE4" w14:textId="77777777" w:rsidR="00B016DE" w:rsidRPr="0008652C" w:rsidRDefault="00B016DE" w:rsidP="00F9543C">
            <w:pPr>
              <w:pStyle w:val="ListParagraph"/>
              <w:numPr>
                <w:ilvl w:val="0"/>
                <w:numId w:val="39"/>
              </w:numPr>
              <w:tabs>
                <w:tab w:val="left" w:pos="11820"/>
              </w:tabs>
              <w:spacing w:after="120" w:line="240" w:lineRule="auto"/>
              <w:rPr>
                <w:rFonts w:eastAsia="Times New Roman"/>
                <w:lang w:val="en-IN"/>
              </w:rPr>
            </w:pPr>
            <w:r w:rsidRPr="0008652C">
              <w:rPr>
                <w:rFonts w:eastAsia="Times New Roman"/>
              </w:rPr>
              <w:t>Workmen Compensation</w:t>
            </w:r>
          </w:p>
          <w:p w14:paraId="26920FDC" w14:textId="77777777" w:rsidR="00B016DE" w:rsidRPr="0008652C" w:rsidRDefault="00B016DE" w:rsidP="00F9543C">
            <w:pPr>
              <w:pStyle w:val="ListParagraph"/>
              <w:tabs>
                <w:tab w:val="left" w:pos="11820"/>
              </w:tabs>
              <w:spacing w:after="120" w:line="240" w:lineRule="auto"/>
            </w:pPr>
            <w:r w:rsidRPr="0008652C">
              <w:lastRenderedPageBreak/>
              <w:t xml:space="preserve">The Contractor shall affect and maintain insurance against liability for claims, damages, </w:t>
            </w:r>
            <w:proofErr w:type="gramStart"/>
            <w:r w:rsidRPr="0008652C">
              <w:t>losses</w:t>
            </w:r>
            <w:proofErr w:type="gramEnd"/>
            <w:r w:rsidRPr="0008652C">
              <w:t xml:space="preserve"> and expenses (including legal fees and expenses) arising from injury, sickness, disease or death of any Person employed by the Contractor or Sub-Contractor or any other of the Contractor’s Personnel. The Contractor shall submit a copy of the same within fifteen (15) Days of Mobilization. Should the Contractor fail to submit a copy of the Workmen’s Compensation policy within the specified period, the Employer may at its option and at the cost and expense of the Contractor take the policy for and on behalf of the Contractor.</w:t>
            </w:r>
          </w:p>
          <w:p w14:paraId="4C7729DC" w14:textId="77777777" w:rsidR="00B016DE" w:rsidRPr="0008652C" w:rsidRDefault="00B016DE" w:rsidP="00F9543C">
            <w:pPr>
              <w:pStyle w:val="ListParagraph"/>
              <w:tabs>
                <w:tab w:val="left" w:pos="11820"/>
              </w:tabs>
              <w:spacing w:after="120" w:line="240" w:lineRule="auto"/>
              <w:rPr>
                <w:lang w:val="en-IN"/>
              </w:rPr>
            </w:pPr>
          </w:p>
          <w:p w14:paraId="128DCCF1" w14:textId="77777777" w:rsidR="00B016DE" w:rsidRPr="0008652C" w:rsidRDefault="00B016DE" w:rsidP="00F9543C">
            <w:pPr>
              <w:pStyle w:val="ListParagraph"/>
              <w:numPr>
                <w:ilvl w:val="0"/>
                <w:numId w:val="39"/>
              </w:numPr>
              <w:tabs>
                <w:tab w:val="left" w:pos="11820"/>
              </w:tabs>
              <w:spacing w:after="120" w:line="240" w:lineRule="auto"/>
              <w:rPr>
                <w:rFonts w:eastAsia="Times New Roman"/>
                <w:lang w:val="en-IN"/>
              </w:rPr>
            </w:pPr>
            <w:r w:rsidRPr="0008652C">
              <w:rPr>
                <w:rFonts w:eastAsia="Times New Roman"/>
              </w:rPr>
              <w:t>Insurance for Works and Contractor’s Equipment</w:t>
            </w:r>
          </w:p>
          <w:p w14:paraId="32EE729E" w14:textId="77777777" w:rsidR="00B016DE" w:rsidRPr="0008652C" w:rsidRDefault="00B016DE" w:rsidP="00F9543C">
            <w:pPr>
              <w:pStyle w:val="ListParagraph"/>
              <w:tabs>
                <w:tab w:val="left" w:pos="11820"/>
              </w:tabs>
              <w:spacing w:after="120" w:line="240" w:lineRule="auto"/>
            </w:pPr>
            <w:r w:rsidRPr="0008652C">
              <w:t>The Contractor shall insure the Works, Plant and Equipment, Materials and Contractor’s Equipment for not less than the full reinstatement cost including the costs of demolition, removal of debris and professional fees and profit. This insurance shall be effective from the Commencement Date, until the date of issue of the Completion Certificate for the Works.</w:t>
            </w:r>
          </w:p>
          <w:p w14:paraId="00AFE16F" w14:textId="77777777" w:rsidR="00B016DE" w:rsidRPr="0008652C" w:rsidRDefault="00B016DE" w:rsidP="00F9543C">
            <w:pPr>
              <w:pStyle w:val="ListParagraph"/>
              <w:tabs>
                <w:tab w:val="left" w:pos="11820"/>
              </w:tabs>
              <w:spacing w:after="120" w:line="240" w:lineRule="auto"/>
            </w:pPr>
          </w:p>
          <w:p w14:paraId="7667FE1E" w14:textId="77777777" w:rsidR="00B016DE" w:rsidRPr="0008652C" w:rsidRDefault="00B016DE" w:rsidP="00F9543C">
            <w:pPr>
              <w:pStyle w:val="ListParagraph"/>
              <w:numPr>
                <w:ilvl w:val="0"/>
                <w:numId w:val="39"/>
              </w:numPr>
              <w:tabs>
                <w:tab w:val="left" w:pos="11820"/>
              </w:tabs>
              <w:spacing w:after="0" w:line="240" w:lineRule="auto"/>
              <w:rPr>
                <w:rFonts w:eastAsia="Times New Roman"/>
              </w:rPr>
            </w:pPr>
            <w:r w:rsidRPr="0008652C">
              <w:rPr>
                <w:rFonts w:eastAsia="Times New Roman"/>
              </w:rPr>
              <w:t>Medical Insurance</w:t>
            </w:r>
          </w:p>
          <w:p w14:paraId="0E8CB7D8" w14:textId="77777777" w:rsidR="00B016DE" w:rsidRPr="0008652C" w:rsidRDefault="00B016DE" w:rsidP="00F9543C">
            <w:pPr>
              <w:pStyle w:val="h1"/>
              <w:numPr>
                <w:ilvl w:val="0"/>
                <w:numId w:val="0"/>
              </w:numPr>
              <w:tabs>
                <w:tab w:val="left" w:pos="720"/>
                <w:tab w:val="left" w:pos="11820"/>
              </w:tabs>
              <w:spacing w:line="280" w:lineRule="exact"/>
              <w:ind w:left="755" w:hanging="540"/>
              <w:jc w:val="both"/>
              <w:rPr>
                <w:rFonts w:ascii="Adani Regular" w:hAnsi="Adani Regular"/>
                <w:b w:val="0"/>
                <w:bCs w:val="0"/>
                <w:lang w:val="en-GB"/>
              </w:rPr>
            </w:pPr>
            <w:r w:rsidRPr="0008652C">
              <w:rPr>
                <w:rFonts w:ascii="Adani Regular" w:hAnsi="Adani Regular"/>
                <w:b w:val="0"/>
                <w:bCs w:val="0"/>
                <w:lang w:val="en-GB"/>
              </w:rPr>
              <w:t>         Contractor shall ensure that all the labours and staff of their company engaged in this Site are fully covered under the medical insurance policy including COVID-19 epidemic in accordance with MHA guidelines and its amendments (if any), Central, State, and local provisions.</w:t>
            </w:r>
          </w:p>
          <w:p w14:paraId="47758A8C" w14:textId="77777777" w:rsidR="00B016DE" w:rsidRPr="0008652C" w:rsidRDefault="00B016DE" w:rsidP="00F9543C">
            <w:pPr>
              <w:pStyle w:val="h1"/>
              <w:numPr>
                <w:ilvl w:val="0"/>
                <w:numId w:val="0"/>
              </w:numPr>
              <w:tabs>
                <w:tab w:val="left" w:pos="720"/>
                <w:tab w:val="left" w:pos="11820"/>
              </w:tabs>
              <w:spacing w:line="280" w:lineRule="exact"/>
              <w:ind w:left="540" w:hanging="540"/>
              <w:jc w:val="both"/>
              <w:rPr>
                <w:rFonts w:ascii="Adani Regular" w:hAnsi="Adani Regular"/>
                <w:lang w:val="en-GB"/>
              </w:rPr>
            </w:pPr>
            <w:r w:rsidRPr="0008652C">
              <w:rPr>
                <w:rFonts w:ascii="Adani Regular" w:hAnsi="Adani Regular"/>
                <w:lang w:val="en-GB"/>
              </w:rPr>
              <w:t>Co-insured:</w:t>
            </w:r>
          </w:p>
          <w:p w14:paraId="2295A386" w14:textId="0350F5BA" w:rsidR="00B016DE" w:rsidRPr="00CA5BC9" w:rsidRDefault="00B016DE" w:rsidP="00F9543C">
            <w:pPr>
              <w:tabs>
                <w:tab w:val="left" w:pos="11820"/>
              </w:tabs>
              <w:rPr>
                <w:lang w:val="en-IN"/>
              </w:rPr>
            </w:pPr>
            <w:r w:rsidRPr="0008652C">
              <w:rPr>
                <w:lang w:val="en-IN"/>
              </w:rPr>
              <w:t>The Employer shall be named as co-insured under all insurance policies taken out by the Contractor pursuant to this clause. All insurer’s rights of subrogation against such co-insured for losses or claims arising out of the performance of the Contract shall be waived under such policies.</w:t>
            </w:r>
          </w:p>
        </w:tc>
      </w:tr>
      <w:tr w:rsidR="00B016DE" w:rsidRPr="0008017E" w14:paraId="6D5CBFC6" w14:textId="77777777" w:rsidTr="00B016DE">
        <w:tc>
          <w:tcPr>
            <w:tcW w:w="212" w:type="pct"/>
            <w:shd w:val="clear" w:color="auto" w:fill="auto"/>
          </w:tcPr>
          <w:p w14:paraId="19DC98EC"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3EE3574C" w14:textId="1C8C5B6B" w:rsidR="00B016DE" w:rsidRPr="0008017E"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 xml:space="preserve">Defect Liability Period </w:t>
            </w:r>
          </w:p>
        </w:tc>
        <w:tc>
          <w:tcPr>
            <w:tcW w:w="518" w:type="pct"/>
          </w:tcPr>
          <w:p w14:paraId="1AD14625" w14:textId="03C3C4E0"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Clause no. 30.1</w:t>
            </w:r>
          </w:p>
        </w:tc>
        <w:tc>
          <w:tcPr>
            <w:tcW w:w="3615" w:type="pct"/>
            <w:shd w:val="clear" w:color="auto" w:fill="auto"/>
          </w:tcPr>
          <w:p w14:paraId="3298D5FA" w14:textId="551657C5" w:rsidR="00B016DE" w:rsidRPr="0008017E" w:rsidRDefault="00B016DE" w:rsidP="00F9543C">
            <w:pPr>
              <w:tabs>
                <w:tab w:val="left" w:pos="11820"/>
              </w:tabs>
              <w:spacing w:after="120" w:line="240" w:lineRule="auto"/>
              <w:rPr>
                <w:rFonts w:eastAsia="Times New Roman" w:cs="Calibri"/>
                <w:szCs w:val="20"/>
                <w:lang w:val="en-IN"/>
              </w:rPr>
            </w:pPr>
            <w:r w:rsidRPr="00361F82">
              <w:rPr>
                <w:rFonts w:eastAsia="Times New Roman" w:cs="Calibri"/>
                <w:szCs w:val="20"/>
                <w:lang w:val="en-IN"/>
              </w:rPr>
              <w:t xml:space="preserve">The Defect Liability Period shall be for a period of </w:t>
            </w:r>
            <w:r>
              <w:rPr>
                <w:rFonts w:eastAsia="Times New Roman" w:cs="Calibri"/>
                <w:szCs w:val="20"/>
                <w:lang w:val="en-IN"/>
              </w:rPr>
              <w:t>12</w:t>
            </w:r>
            <w:r w:rsidRPr="00361F82">
              <w:rPr>
                <w:rFonts w:eastAsia="Times New Roman" w:cs="Calibri"/>
                <w:szCs w:val="20"/>
                <w:lang w:val="en-IN"/>
              </w:rPr>
              <w:t xml:space="preserve"> months from the date of Completion as per the Completion Schedule.</w:t>
            </w:r>
          </w:p>
        </w:tc>
      </w:tr>
      <w:tr w:rsidR="00B016DE" w:rsidRPr="0008017E" w14:paraId="106C773A" w14:textId="77777777" w:rsidTr="00B016DE">
        <w:tc>
          <w:tcPr>
            <w:tcW w:w="212" w:type="pct"/>
            <w:shd w:val="clear" w:color="auto" w:fill="auto"/>
          </w:tcPr>
          <w:p w14:paraId="051D9E33"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5C4AC8F1" w14:textId="3FB424F1" w:rsidR="00B016DE" w:rsidRPr="0008017E" w:rsidRDefault="00B016DE" w:rsidP="00F9543C">
            <w:pPr>
              <w:spacing w:after="120" w:line="240" w:lineRule="auto"/>
              <w:rPr>
                <w:rFonts w:eastAsia="Times New Roman" w:cs="Calibri"/>
                <w:b/>
                <w:bCs/>
                <w:szCs w:val="20"/>
                <w:lang w:val="en-IN"/>
              </w:rPr>
            </w:pPr>
            <w:r w:rsidRPr="00361F82">
              <w:rPr>
                <w:rFonts w:eastAsia="Times New Roman" w:cs="Calibri"/>
                <w:b/>
                <w:bCs/>
                <w:szCs w:val="20"/>
                <w:lang w:val="en-IN"/>
              </w:rPr>
              <w:t xml:space="preserve">Retention </w:t>
            </w:r>
          </w:p>
        </w:tc>
        <w:tc>
          <w:tcPr>
            <w:tcW w:w="518" w:type="pct"/>
          </w:tcPr>
          <w:p w14:paraId="73919089" w14:textId="08647ABA" w:rsidR="00B016DE" w:rsidRPr="00361F82" w:rsidRDefault="00B016DE" w:rsidP="00F9543C">
            <w:pPr>
              <w:spacing w:after="120" w:line="240" w:lineRule="auto"/>
              <w:rPr>
                <w:rFonts w:eastAsia="Times New Roman" w:cs="Calibri"/>
                <w:szCs w:val="20"/>
                <w:lang w:val="en-IN"/>
              </w:rPr>
            </w:pPr>
            <w:r>
              <w:rPr>
                <w:rFonts w:eastAsia="Times New Roman" w:cs="Calibri"/>
                <w:szCs w:val="20"/>
                <w:lang w:val="en-IN"/>
              </w:rPr>
              <w:t>-</w:t>
            </w:r>
          </w:p>
        </w:tc>
        <w:tc>
          <w:tcPr>
            <w:tcW w:w="3615" w:type="pct"/>
            <w:shd w:val="clear" w:color="auto" w:fill="auto"/>
          </w:tcPr>
          <w:p w14:paraId="3C0BAB27" w14:textId="70F299A3" w:rsidR="00B016DE" w:rsidRPr="0008017E" w:rsidRDefault="00B016DE" w:rsidP="00F9543C">
            <w:pPr>
              <w:tabs>
                <w:tab w:val="left" w:pos="11820"/>
              </w:tabs>
              <w:spacing w:after="120" w:line="240" w:lineRule="auto"/>
              <w:rPr>
                <w:rFonts w:eastAsia="Times New Roman" w:cs="Calibri"/>
                <w:szCs w:val="20"/>
                <w:lang w:val="en-IN"/>
              </w:rPr>
            </w:pPr>
            <w:r w:rsidRPr="00361F82">
              <w:rPr>
                <w:rFonts w:eastAsia="Times New Roman" w:cs="Calibri"/>
                <w:szCs w:val="20"/>
                <w:lang w:val="en-IN"/>
              </w:rPr>
              <w:t xml:space="preserve">5% of the Basic </w:t>
            </w:r>
            <w:r>
              <w:rPr>
                <w:rFonts w:eastAsia="Times New Roman" w:cs="Calibri"/>
                <w:szCs w:val="20"/>
                <w:lang w:val="en-IN"/>
              </w:rPr>
              <w:t>Contract</w:t>
            </w:r>
            <w:r w:rsidRPr="00361F82">
              <w:rPr>
                <w:rFonts w:eastAsia="Times New Roman" w:cs="Calibri"/>
                <w:szCs w:val="20"/>
                <w:lang w:val="en-IN"/>
              </w:rPr>
              <w:t xml:space="preserve"> Price</w:t>
            </w:r>
            <w:r>
              <w:rPr>
                <w:rFonts w:eastAsia="Times New Roman" w:cs="Calibri"/>
                <w:szCs w:val="20"/>
                <w:lang w:val="en-IN"/>
              </w:rPr>
              <w:t xml:space="preserve"> (excluding GST but including all other taxes)</w:t>
            </w:r>
            <w:r w:rsidRPr="00361F82">
              <w:rPr>
                <w:rFonts w:eastAsia="Times New Roman" w:cs="Calibri"/>
                <w:szCs w:val="20"/>
                <w:lang w:val="en-IN"/>
              </w:rPr>
              <w:t xml:space="preserve"> shall be retained in all RA bill and retained amount shall be paid along with Final bill settlement.</w:t>
            </w:r>
          </w:p>
        </w:tc>
      </w:tr>
      <w:tr w:rsidR="00B016DE" w:rsidRPr="0008017E" w14:paraId="1096BD1E" w14:textId="77777777" w:rsidTr="00B016DE">
        <w:tc>
          <w:tcPr>
            <w:tcW w:w="212" w:type="pct"/>
            <w:shd w:val="clear" w:color="auto" w:fill="auto"/>
            <w:hideMark/>
          </w:tcPr>
          <w:p w14:paraId="2D4F58A0"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hideMark/>
          </w:tcPr>
          <w:p w14:paraId="5807AE71" w14:textId="7E893E98" w:rsidR="00B016DE" w:rsidRPr="0008017E" w:rsidRDefault="00B016DE" w:rsidP="00F9543C">
            <w:pPr>
              <w:spacing w:after="120" w:line="240" w:lineRule="auto"/>
              <w:rPr>
                <w:rFonts w:eastAsia="Times New Roman" w:cs="Calibri"/>
                <w:b/>
                <w:bCs/>
                <w:szCs w:val="20"/>
                <w:lang w:val="en-IN"/>
              </w:rPr>
            </w:pPr>
            <w:r w:rsidRPr="0008017E">
              <w:rPr>
                <w:rFonts w:eastAsia="Times New Roman" w:cs="Calibri"/>
                <w:b/>
                <w:bCs/>
                <w:szCs w:val="20"/>
                <w:lang w:val="en-IN"/>
              </w:rPr>
              <w:t>Specific Agreed Terms</w:t>
            </w:r>
          </w:p>
        </w:tc>
        <w:tc>
          <w:tcPr>
            <w:tcW w:w="518" w:type="pct"/>
          </w:tcPr>
          <w:p w14:paraId="116C6697" w14:textId="11C4F1A3" w:rsidR="00B016DE" w:rsidRPr="00F62FE7" w:rsidRDefault="00B016DE" w:rsidP="00F9543C">
            <w:pPr>
              <w:rPr>
                <w:rFonts w:eastAsia="Times New Roman" w:cs="Calibri"/>
                <w:szCs w:val="20"/>
                <w:lang w:val="en-IN"/>
              </w:rPr>
            </w:pPr>
            <w:r>
              <w:rPr>
                <w:rFonts w:eastAsia="Times New Roman" w:cs="Calibri"/>
                <w:szCs w:val="20"/>
                <w:lang w:val="en-IN"/>
              </w:rPr>
              <w:t>-</w:t>
            </w:r>
          </w:p>
        </w:tc>
        <w:tc>
          <w:tcPr>
            <w:tcW w:w="3615" w:type="pct"/>
            <w:shd w:val="clear" w:color="auto" w:fill="auto"/>
            <w:hideMark/>
          </w:tcPr>
          <w:p w14:paraId="7D7313E2" w14:textId="012AB23A" w:rsidR="00B016DE" w:rsidRPr="0008017E" w:rsidRDefault="00B016DE" w:rsidP="00F9543C">
            <w:pPr>
              <w:tabs>
                <w:tab w:val="left" w:pos="11820"/>
              </w:tabs>
              <w:rPr>
                <w:rFonts w:eastAsia="Times New Roman" w:cs="Calibri"/>
                <w:szCs w:val="20"/>
                <w:lang w:val="en-IN"/>
              </w:rPr>
            </w:pPr>
            <w:r w:rsidRPr="00F62FE7">
              <w:rPr>
                <w:rFonts w:eastAsia="Times New Roman" w:cs="Calibri"/>
                <w:szCs w:val="20"/>
                <w:lang w:val="en-IN"/>
              </w:rPr>
              <w:t>The Contractor shall carry out the works abiding Employer’s Safety Requirement/ AIAL OHSAS Requirements and shall comply with its obligations.</w:t>
            </w:r>
          </w:p>
        </w:tc>
      </w:tr>
      <w:tr w:rsidR="00B016DE" w:rsidRPr="0008017E" w14:paraId="6BFDB141" w14:textId="77777777" w:rsidTr="00B016DE">
        <w:tc>
          <w:tcPr>
            <w:tcW w:w="212" w:type="pct"/>
            <w:shd w:val="clear" w:color="auto" w:fill="auto"/>
          </w:tcPr>
          <w:p w14:paraId="43360448" w14:textId="77777777" w:rsidR="00B016DE" w:rsidRPr="0008017E" w:rsidRDefault="00B016DE" w:rsidP="00F9543C">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0A4F1A19" w14:textId="38049392" w:rsidR="00B016DE" w:rsidRPr="0008017E" w:rsidRDefault="00B016DE" w:rsidP="00F9543C">
            <w:pPr>
              <w:spacing w:after="120" w:line="240" w:lineRule="auto"/>
              <w:rPr>
                <w:rFonts w:eastAsia="Times New Roman" w:cs="Calibri"/>
                <w:b/>
                <w:bCs/>
                <w:szCs w:val="20"/>
                <w:lang w:val="en-IN"/>
              </w:rPr>
            </w:pPr>
            <w:r>
              <w:rPr>
                <w:rFonts w:eastAsia="Times New Roman" w:cs="Calibri"/>
                <w:b/>
                <w:bCs/>
                <w:szCs w:val="20"/>
                <w:lang w:val="en-IN"/>
              </w:rPr>
              <w:t>Extra Items</w:t>
            </w:r>
          </w:p>
        </w:tc>
        <w:tc>
          <w:tcPr>
            <w:tcW w:w="518" w:type="pct"/>
          </w:tcPr>
          <w:p w14:paraId="07F32479" w14:textId="4B76B94E" w:rsidR="00B016DE" w:rsidRDefault="00B016DE" w:rsidP="00F9543C">
            <w:pPr>
              <w:spacing w:after="0"/>
              <w:rPr>
                <w:rFonts w:eastAsia="Times New Roman" w:cs="Calibri"/>
                <w:szCs w:val="20"/>
                <w:lang w:val="en-IN"/>
              </w:rPr>
            </w:pPr>
            <w:r>
              <w:rPr>
                <w:rFonts w:eastAsia="Times New Roman" w:cs="Calibri"/>
                <w:szCs w:val="20"/>
                <w:lang w:val="en-IN"/>
              </w:rPr>
              <w:t>Clause no. 4.1</w:t>
            </w:r>
          </w:p>
        </w:tc>
        <w:tc>
          <w:tcPr>
            <w:tcW w:w="3615" w:type="pct"/>
            <w:shd w:val="clear" w:color="auto" w:fill="auto"/>
          </w:tcPr>
          <w:p w14:paraId="04FAAB68" w14:textId="5F07A780" w:rsidR="00B016DE" w:rsidRDefault="00B016DE" w:rsidP="00F9543C">
            <w:pPr>
              <w:tabs>
                <w:tab w:val="left" w:pos="11820"/>
              </w:tabs>
              <w:spacing w:after="0"/>
              <w:rPr>
                <w:rFonts w:eastAsia="Times New Roman" w:cs="Calibri"/>
                <w:szCs w:val="20"/>
                <w:lang w:val="en-IN"/>
              </w:rPr>
            </w:pPr>
            <w:r>
              <w:rPr>
                <w:rFonts w:eastAsia="Times New Roman" w:cs="Calibri"/>
                <w:szCs w:val="20"/>
                <w:lang w:val="en-IN"/>
              </w:rPr>
              <w:t>Add in GCC Clause no. 4.1.(c).(ii)</w:t>
            </w:r>
          </w:p>
          <w:p w14:paraId="17A8DFB1" w14:textId="1F8E64E3" w:rsidR="00B016DE" w:rsidRPr="00F62FE7" w:rsidRDefault="00B016DE" w:rsidP="00F9543C">
            <w:pPr>
              <w:tabs>
                <w:tab w:val="left" w:pos="11820"/>
              </w:tabs>
              <w:rPr>
                <w:rFonts w:eastAsia="Times New Roman" w:cs="Calibri"/>
                <w:szCs w:val="20"/>
                <w:lang w:val="en-IN"/>
              </w:rPr>
            </w:pPr>
            <w:r>
              <w:rPr>
                <w:rFonts w:eastAsia="Times New Roman" w:cs="Calibri"/>
                <w:szCs w:val="20"/>
                <w:lang w:val="en-IN"/>
              </w:rPr>
              <w:t>T</w:t>
            </w:r>
            <w:r w:rsidRPr="00EA3FF6">
              <w:rPr>
                <w:rFonts w:eastAsia="Times New Roman" w:cs="Calibri"/>
                <w:szCs w:val="20"/>
                <w:lang w:val="en-IN"/>
              </w:rPr>
              <w:t>he Contractor shall, within 7 Days of the receipt of order to carry out the</w:t>
            </w:r>
            <w:r>
              <w:rPr>
                <w:rFonts w:eastAsia="Times New Roman" w:cs="Calibri"/>
                <w:szCs w:val="20"/>
                <w:lang w:val="en-IN"/>
              </w:rPr>
              <w:t xml:space="preserve"> w</w:t>
            </w:r>
            <w:r w:rsidRPr="00EA3FF6">
              <w:rPr>
                <w:rFonts w:eastAsia="Times New Roman" w:cs="Calibri"/>
                <w:szCs w:val="20"/>
                <w:lang w:val="en-IN"/>
              </w:rPr>
              <w:t xml:space="preserve">ork, inform the Engineer-in-Charge, the rate which he intends to charge for </w:t>
            </w:r>
            <w:r>
              <w:rPr>
                <w:rFonts w:eastAsia="Times New Roman" w:cs="Calibri"/>
                <w:szCs w:val="20"/>
                <w:lang w:val="en-IN"/>
              </w:rPr>
              <w:t>altered, additional or substituted</w:t>
            </w:r>
            <w:r w:rsidRPr="00EA3FF6">
              <w:rPr>
                <w:rFonts w:eastAsia="Times New Roman" w:cs="Calibri"/>
                <w:szCs w:val="20"/>
                <w:lang w:val="en-IN"/>
              </w:rPr>
              <w:t xml:space="preserve"> </w:t>
            </w:r>
            <w:r>
              <w:rPr>
                <w:rFonts w:eastAsia="Times New Roman" w:cs="Calibri"/>
                <w:szCs w:val="20"/>
                <w:lang w:val="en-IN"/>
              </w:rPr>
              <w:t>w</w:t>
            </w:r>
            <w:r w:rsidRPr="00EA3FF6">
              <w:rPr>
                <w:rFonts w:eastAsia="Times New Roman" w:cs="Calibri"/>
                <w:szCs w:val="20"/>
                <w:lang w:val="en-IN"/>
              </w:rPr>
              <w:t>ork, supported by analysis &amp; documents of the rate or rates claimed, based on the prevailing market rate. The Engineer-in-Charge shall in turn determine the rates based on the landed rates of materials, labourers, Taxes &amp; duties plus 15% for overheads and Contractor's profit and pay the Contractor accordingly. The opinion of the Engineer-in-Charge in the above determination of rates will be final.</w:t>
            </w:r>
          </w:p>
        </w:tc>
      </w:tr>
      <w:tr w:rsidR="00B016DE" w:rsidRPr="0008017E" w14:paraId="6A88FBFC" w14:textId="77777777" w:rsidTr="00B016DE">
        <w:tc>
          <w:tcPr>
            <w:tcW w:w="212" w:type="pct"/>
            <w:shd w:val="clear" w:color="auto" w:fill="auto"/>
          </w:tcPr>
          <w:p w14:paraId="7A070838" w14:textId="77777777" w:rsidR="00B016DE" w:rsidRPr="0008017E" w:rsidRDefault="00B016DE" w:rsidP="009C76C6">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7AD35409" w14:textId="33BA6F60" w:rsidR="00B016DE" w:rsidRDefault="00B016DE" w:rsidP="009C76C6">
            <w:pPr>
              <w:spacing w:after="120" w:line="240" w:lineRule="auto"/>
              <w:rPr>
                <w:rFonts w:eastAsia="Times New Roman" w:cs="Calibri"/>
                <w:b/>
                <w:bCs/>
                <w:szCs w:val="20"/>
                <w:lang w:val="en-IN"/>
              </w:rPr>
            </w:pPr>
            <w:r>
              <w:rPr>
                <w:rFonts w:eastAsia="Times New Roman" w:cs="Calibri"/>
                <w:b/>
                <w:bCs/>
                <w:szCs w:val="20"/>
                <w:lang w:val="en-IN"/>
              </w:rPr>
              <w:t>Site Maintenance</w:t>
            </w:r>
          </w:p>
        </w:tc>
        <w:tc>
          <w:tcPr>
            <w:tcW w:w="518" w:type="pct"/>
          </w:tcPr>
          <w:p w14:paraId="184BDBAD" w14:textId="246D7E24" w:rsidR="00B016DE" w:rsidRDefault="00B016DE" w:rsidP="009C76C6">
            <w:pPr>
              <w:spacing w:after="0"/>
              <w:rPr>
                <w:rFonts w:eastAsia="Times New Roman" w:cs="Calibri"/>
                <w:szCs w:val="20"/>
                <w:lang w:val="en-IN"/>
              </w:rPr>
            </w:pPr>
            <w:r>
              <w:rPr>
                <w:rFonts w:eastAsia="Times New Roman" w:cs="Calibri"/>
                <w:szCs w:val="20"/>
                <w:lang w:val="en-IN"/>
              </w:rPr>
              <w:t>Clause no. 18</w:t>
            </w:r>
          </w:p>
        </w:tc>
        <w:tc>
          <w:tcPr>
            <w:tcW w:w="3615" w:type="pct"/>
            <w:shd w:val="clear" w:color="auto" w:fill="auto"/>
          </w:tcPr>
          <w:p w14:paraId="7AB4537B" w14:textId="77777777" w:rsidR="00B016DE" w:rsidRDefault="00B016DE" w:rsidP="009C76C6">
            <w:pPr>
              <w:tabs>
                <w:tab w:val="left" w:pos="11820"/>
              </w:tabs>
              <w:spacing w:after="0"/>
              <w:rPr>
                <w:rFonts w:eastAsia="Times New Roman" w:cs="Calibri"/>
                <w:szCs w:val="20"/>
                <w:lang w:val="en-IN"/>
              </w:rPr>
            </w:pPr>
            <w:r>
              <w:rPr>
                <w:rFonts w:eastAsia="Times New Roman" w:cs="Calibri"/>
                <w:szCs w:val="20"/>
                <w:lang w:val="en-IN"/>
              </w:rPr>
              <w:t>Add in GCC Clause no. 18</w:t>
            </w:r>
          </w:p>
          <w:p w14:paraId="31373FCF" w14:textId="72F39822" w:rsidR="00B016DE" w:rsidRDefault="00B016DE" w:rsidP="009C76C6">
            <w:pPr>
              <w:tabs>
                <w:tab w:val="left" w:pos="11820"/>
              </w:tabs>
              <w:spacing w:after="0"/>
              <w:rPr>
                <w:rFonts w:eastAsia="Times New Roman" w:cs="Calibri"/>
                <w:szCs w:val="20"/>
                <w:lang w:val="en-IN"/>
              </w:rPr>
            </w:pPr>
            <w:r>
              <w:rPr>
                <w:rFonts w:eastAsia="Times New Roman" w:cs="Calibri"/>
                <w:szCs w:val="20"/>
                <w:lang w:val="en-IN"/>
              </w:rPr>
              <w:lastRenderedPageBreak/>
              <w:t xml:space="preserve">The contractor shall </w:t>
            </w:r>
            <w:r w:rsidRPr="00C81158">
              <w:rPr>
                <w:rFonts w:eastAsia="Times New Roman" w:cs="Calibri"/>
                <w:szCs w:val="20"/>
              </w:rPr>
              <w:t>remove</w:t>
            </w:r>
            <w:r>
              <w:rPr>
                <w:rFonts w:eastAsia="Times New Roman" w:cs="Calibri"/>
                <w:szCs w:val="20"/>
              </w:rPr>
              <w:t>/ dispose</w:t>
            </w:r>
            <w:r w:rsidRPr="00C81158">
              <w:rPr>
                <w:rFonts w:eastAsia="Times New Roman" w:cs="Calibri"/>
                <w:szCs w:val="20"/>
              </w:rPr>
              <w:t xml:space="preserve"> from the</w:t>
            </w:r>
            <w:r>
              <w:rPr>
                <w:rFonts w:eastAsia="Times New Roman" w:cs="Calibri"/>
                <w:szCs w:val="20"/>
              </w:rPr>
              <w:t xml:space="preserve"> </w:t>
            </w:r>
            <w:r w:rsidRPr="00C81158">
              <w:rPr>
                <w:rFonts w:eastAsia="Times New Roman" w:cs="Calibri"/>
                <w:szCs w:val="20"/>
              </w:rPr>
              <w:t>Site</w:t>
            </w:r>
            <w:r>
              <w:rPr>
                <w:rFonts w:eastAsia="Times New Roman" w:cs="Calibri"/>
                <w:szCs w:val="20"/>
              </w:rPr>
              <w:t>,</w:t>
            </w:r>
            <w:r w:rsidRPr="00C81158">
              <w:rPr>
                <w:rFonts w:eastAsia="Times New Roman" w:cs="Calibri"/>
                <w:szCs w:val="20"/>
              </w:rPr>
              <w:t xml:space="preserve"> all waste materials, rubbish</w:t>
            </w:r>
            <w:r>
              <w:rPr>
                <w:rFonts w:eastAsia="Times New Roman" w:cs="Calibri"/>
                <w:szCs w:val="20"/>
              </w:rPr>
              <w:t>,</w:t>
            </w:r>
            <w:r w:rsidRPr="00C81158">
              <w:rPr>
                <w:rFonts w:eastAsia="Times New Roman" w:cs="Calibri"/>
                <w:szCs w:val="20"/>
              </w:rPr>
              <w:t xml:space="preserve"> and other debris resulting from the performance of the Works</w:t>
            </w:r>
            <w:r>
              <w:rPr>
                <w:rFonts w:eastAsia="Times New Roman" w:cs="Calibri"/>
                <w:szCs w:val="20"/>
              </w:rPr>
              <w:t>, outside airport premises at designated AMC dump yard.</w:t>
            </w:r>
          </w:p>
        </w:tc>
      </w:tr>
      <w:tr w:rsidR="00B016DE" w:rsidRPr="0008017E" w14:paraId="3377AA46" w14:textId="77777777" w:rsidTr="00B016DE">
        <w:tc>
          <w:tcPr>
            <w:tcW w:w="212" w:type="pct"/>
            <w:shd w:val="clear" w:color="auto" w:fill="auto"/>
          </w:tcPr>
          <w:p w14:paraId="3ADE38DE" w14:textId="77777777" w:rsidR="00B016DE" w:rsidRPr="0008017E" w:rsidRDefault="00B016DE" w:rsidP="009C76C6">
            <w:pPr>
              <w:pStyle w:val="ListParagraph"/>
              <w:numPr>
                <w:ilvl w:val="0"/>
                <w:numId w:val="29"/>
              </w:numPr>
              <w:spacing w:after="120" w:line="240" w:lineRule="auto"/>
              <w:ind w:left="-120" w:firstLine="120"/>
              <w:contextualSpacing w:val="0"/>
              <w:rPr>
                <w:rFonts w:eastAsia="Times New Roman" w:cs="Calibri"/>
                <w:b/>
                <w:bCs/>
                <w:szCs w:val="20"/>
                <w:lang w:val="en-IN"/>
              </w:rPr>
            </w:pPr>
          </w:p>
        </w:tc>
        <w:tc>
          <w:tcPr>
            <w:tcW w:w="655" w:type="pct"/>
            <w:shd w:val="clear" w:color="auto" w:fill="auto"/>
          </w:tcPr>
          <w:p w14:paraId="7A38670D" w14:textId="48E8A917" w:rsidR="00B016DE" w:rsidRDefault="00B016DE" w:rsidP="009C76C6">
            <w:pPr>
              <w:spacing w:after="120" w:line="240" w:lineRule="auto"/>
              <w:rPr>
                <w:rFonts w:eastAsia="Times New Roman" w:cs="Calibri"/>
                <w:b/>
                <w:bCs/>
                <w:szCs w:val="20"/>
                <w:lang w:val="en-IN"/>
              </w:rPr>
            </w:pPr>
            <w:r>
              <w:rPr>
                <w:rFonts w:eastAsia="Times New Roman" w:cs="Calibri"/>
                <w:b/>
                <w:bCs/>
                <w:szCs w:val="20"/>
                <w:lang w:val="en-IN"/>
              </w:rPr>
              <w:t>Price Variation</w:t>
            </w:r>
          </w:p>
        </w:tc>
        <w:tc>
          <w:tcPr>
            <w:tcW w:w="518" w:type="pct"/>
          </w:tcPr>
          <w:p w14:paraId="60D645B9" w14:textId="028EA8D6" w:rsidR="00B016DE" w:rsidRDefault="00B016DE" w:rsidP="009C76C6">
            <w:pPr>
              <w:spacing w:after="0"/>
              <w:rPr>
                <w:rFonts w:eastAsia="Times New Roman" w:cs="Calibri"/>
                <w:szCs w:val="20"/>
                <w:lang w:val="en-IN"/>
              </w:rPr>
            </w:pPr>
            <w:r>
              <w:rPr>
                <w:rFonts w:eastAsia="Times New Roman" w:cs="Calibri"/>
                <w:szCs w:val="20"/>
                <w:lang w:val="en-IN"/>
              </w:rPr>
              <w:t>-</w:t>
            </w:r>
          </w:p>
        </w:tc>
        <w:tc>
          <w:tcPr>
            <w:tcW w:w="3615" w:type="pct"/>
            <w:shd w:val="clear" w:color="auto" w:fill="auto"/>
          </w:tcPr>
          <w:p w14:paraId="173DA88B" w14:textId="5DC5F725" w:rsidR="00B016DE" w:rsidRDefault="00B016DE" w:rsidP="00B016DE">
            <w:pPr>
              <w:tabs>
                <w:tab w:val="left" w:pos="11820"/>
              </w:tabs>
              <w:spacing w:after="0"/>
              <w:rPr>
                <w:rFonts w:eastAsia="Times New Roman" w:cs="Calibri"/>
                <w:szCs w:val="20"/>
                <w:lang w:val="en-IN"/>
              </w:rPr>
            </w:pPr>
            <w:r w:rsidRPr="00B016DE">
              <w:rPr>
                <w:rFonts w:eastAsia="Times New Roman" w:cs="Calibri"/>
                <w:szCs w:val="20"/>
              </w:rPr>
              <w:t>Any variation (+/-) in basic rates mentioned in the BOQ item description shall be payable after verification of material invoice and certification by EIC &amp; CAD team.</w:t>
            </w:r>
          </w:p>
        </w:tc>
      </w:tr>
    </w:tbl>
    <w:p w14:paraId="3F318C29" w14:textId="5799E59F" w:rsidR="004B4B19" w:rsidRPr="0008017E" w:rsidRDefault="004B4B19" w:rsidP="006217FE">
      <w:pPr>
        <w:spacing w:after="0" w:line="240" w:lineRule="auto"/>
        <w:rPr>
          <w:szCs w:val="20"/>
          <w:lang w:val="en-IN"/>
        </w:rPr>
      </w:pPr>
    </w:p>
    <w:p w14:paraId="37FE0B5B" w14:textId="77777777" w:rsidR="001A787B" w:rsidRPr="0008017E" w:rsidRDefault="001A787B" w:rsidP="006C6949">
      <w:pPr>
        <w:spacing w:after="120" w:line="240" w:lineRule="auto"/>
        <w:rPr>
          <w:szCs w:val="20"/>
          <w:lang w:val="en-IN"/>
        </w:rPr>
      </w:pPr>
    </w:p>
    <w:sectPr w:rsidR="001A787B" w:rsidRPr="0008017E" w:rsidSect="00A80213">
      <w:headerReference w:type="default" r:id="rId8"/>
      <w:footerReference w:type="default" r:id="rId9"/>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AC03" w14:textId="77777777" w:rsidR="00A80213" w:rsidRDefault="00A80213" w:rsidP="00785D5A">
      <w:pPr>
        <w:spacing w:after="0" w:line="240" w:lineRule="auto"/>
      </w:pPr>
      <w:r>
        <w:separator/>
      </w:r>
    </w:p>
  </w:endnote>
  <w:endnote w:type="continuationSeparator" w:id="0">
    <w:p w14:paraId="7A7AEC17" w14:textId="77777777" w:rsidR="00A80213" w:rsidRDefault="00A80213" w:rsidP="0078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ni Regular">
    <w:panose1 w:val="02000503000000020004"/>
    <w:charset w:val="00"/>
    <w:family w:val="auto"/>
    <w:pitch w:val="variable"/>
    <w:sig w:usb0="80000027" w:usb1="4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dan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D19D" w14:textId="68D8BD16" w:rsidR="00976012" w:rsidRDefault="00976012" w:rsidP="006217FE">
    <w:pPr>
      <w:pStyle w:val="Footer"/>
      <w:tabs>
        <w:tab w:val="clear" w:pos="4680"/>
        <w:tab w:val="clear" w:pos="9360"/>
      </w:tabs>
      <w:jc w:val="center"/>
      <w:rPr>
        <w:rFonts w:cs="Times New Roman"/>
        <w:noProof/>
        <w:sz w:val="18"/>
      </w:rPr>
    </w:pPr>
  </w:p>
  <w:tbl>
    <w:tblPr>
      <w:tblStyle w:val="TableGrid"/>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7655"/>
    </w:tblGrid>
    <w:tr w:rsidR="00976012" w:rsidRPr="00A9500B" w14:paraId="0F22C4F8" w14:textId="77777777" w:rsidTr="006F77ED">
      <w:tc>
        <w:tcPr>
          <w:tcW w:w="8080" w:type="dxa"/>
        </w:tcPr>
        <w:p w14:paraId="1BCA48EE" w14:textId="537F7CEB" w:rsidR="00976012" w:rsidRPr="00A9500B" w:rsidRDefault="00976012" w:rsidP="00976012">
          <w:pPr>
            <w:pStyle w:val="Footer"/>
            <w:jc w:val="left"/>
            <w:rPr>
              <w:sz w:val="18"/>
              <w:szCs w:val="18"/>
            </w:rPr>
          </w:pPr>
        </w:p>
      </w:tc>
      <w:tc>
        <w:tcPr>
          <w:tcW w:w="7655" w:type="dxa"/>
        </w:tcPr>
        <w:p w14:paraId="3A5CA495" w14:textId="249DDB5B" w:rsidR="00976012" w:rsidRPr="00A9500B" w:rsidRDefault="00976012" w:rsidP="00976012">
          <w:pPr>
            <w:pStyle w:val="Footer"/>
            <w:jc w:val="right"/>
            <w:rPr>
              <w:sz w:val="18"/>
              <w:szCs w:val="18"/>
            </w:rPr>
          </w:pPr>
          <w:r w:rsidRPr="00A9500B">
            <w:rPr>
              <w:sz w:val="18"/>
              <w:szCs w:val="18"/>
            </w:rPr>
            <w:t xml:space="preserve">Page </w:t>
          </w:r>
          <w:r w:rsidRPr="00A9500B">
            <w:rPr>
              <w:sz w:val="18"/>
              <w:szCs w:val="18"/>
            </w:rPr>
            <w:fldChar w:fldCharType="begin"/>
          </w:r>
          <w:r w:rsidRPr="00A9500B">
            <w:rPr>
              <w:sz w:val="18"/>
              <w:szCs w:val="18"/>
            </w:rPr>
            <w:instrText xml:space="preserve"> PAGE </w:instrText>
          </w:r>
          <w:r w:rsidRPr="00A9500B">
            <w:rPr>
              <w:sz w:val="18"/>
              <w:szCs w:val="18"/>
            </w:rPr>
            <w:fldChar w:fldCharType="separate"/>
          </w:r>
          <w:r w:rsidR="0008017E">
            <w:rPr>
              <w:noProof/>
              <w:sz w:val="18"/>
              <w:szCs w:val="18"/>
            </w:rPr>
            <w:t>5</w:t>
          </w:r>
          <w:r w:rsidRPr="00A9500B">
            <w:rPr>
              <w:sz w:val="18"/>
              <w:szCs w:val="18"/>
            </w:rPr>
            <w:fldChar w:fldCharType="end"/>
          </w:r>
          <w:r w:rsidRPr="00A9500B">
            <w:rPr>
              <w:sz w:val="18"/>
              <w:szCs w:val="18"/>
            </w:rPr>
            <w:t xml:space="preserve"> of </w:t>
          </w:r>
          <w:r w:rsidRPr="00A9500B">
            <w:rPr>
              <w:sz w:val="18"/>
              <w:szCs w:val="18"/>
            </w:rPr>
            <w:fldChar w:fldCharType="begin"/>
          </w:r>
          <w:r w:rsidRPr="00A9500B">
            <w:rPr>
              <w:sz w:val="18"/>
              <w:szCs w:val="18"/>
            </w:rPr>
            <w:instrText xml:space="preserve"> NUMPAGES  </w:instrText>
          </w:r>
          <w:r w:rsidRPr="00A9500B">
            <w:rPr>
              <w:sz w:val="18"/>
              <w:szCs w:val="18"/>
            </w:rPr>
            <w:fldChar w:fldCharType="separate"/>
          </w:r>
          <w:r w:rsidR="0008017E">
            <w:rPr>
              <w:noProof/>
              <w:sz w:val="18"/>
              <w:szCs w:val="18"/>
            </w:rPr>
            <w:t>7</w:t>
          </w:r>
          <w:r w:rsidRPr="00A9500B">
            <w:rPr>
              <w:sz w:val="18"/>
              <w:szCs w:val="18"/>
            </w:rPr>
            <w:fldChar w:fldCharType="end"/>
          </w:r>
        </w:p>
      </w:tc>
    </w:tr>
  </w:tbl>
  <w:p w14:paraId="01C26304" w14:textId="401E636A" w:rsidR="0061746C" w:rsidRPr="006217FE" w:rsidRDefault="0061746C" w:rsidP="006217FE">
    <w:pPr>
      <w:pStyle w:val="Footer"/>
      <w:tabs>
        <w:tab w:val="clear" w:pos="4680"/>
        <w:tab w:val="clear" w:pos="9360"/>
      </w:tabs>
      <w:jc w:val="center"/>
      <w:rPr>
        <w:rFonts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C642" w14:textId="77777777" w:rsidR="00A80213" w:rsidRDefault="00A80213" w:rsidP="00785D5A">
      <w:pPr>
        <w:spacing w:after="0" w:line="240" w:lineRule="auto"/>
      </w:pPr>
      <w:r>
        <w:separator/>
      </w:r>
    </w:p>
  </w:footnote>
  <w:footnote w:type="continuationSeparator" w:id="0">
    <w:p w14:paraId="2A782F2F" w14:textId="77777777" w:rsidR="00A80213" w:rsidRDefault="00A80213" w:rsidP="00785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F7FF" w14:textId="35D2F055" w:rsidR="008F72E6" w:rsidRDefault="008F72E6">
    <w:pPr>
      <w:pStyle w:val="Header"/>
    </w:pPr>
    <w:r w:rsidRPr="008C24B1">
      <w:rPr>
        <w:noProof/>
        <w:sz w:val="16"/>
        <w:szCs w:val="16"/>
        <w:lang w:val="en-IN" w:eastAsia="en-IN"/>
      </w:rPr>
      <w:drawing>
        <wp:inline distT="0" distB="0" distL="0" distR="0" wp14:anchorId="0707CB58" wp14:editId="5110A418">
          <wp:extent cx="1067435" cy="43942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67435" cy="439420"/>
                  </a:xfrm>
                  <a:prstGeom prst="rect">
                    <a:avLst/>
                  </a:prstGeom>
                </pic:spPr>
              </pic:pic>
            </a:graphicData>
          </a:graphic>
        </wp:inline>
      </w:drawing>
    </w:r>
  </w:p>
  <w:p w14:paraId="7F187C62" w14:textId="77777777" w:rsidR="008F72E6" w:rsidRDefault="008F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908"/>
    <w:multiLevelType w:val="hybridMultilevel"/>
    <w:tmpl w:val="0C8C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3CD3"/>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23B38"/>
    <w:multiLevelType w:val="hybridMultilevel"/>
    <w:tmpl w:val="1D4E8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53019B"/>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C6C"/>
    <w:multiLevelType w:val="hybridMultilevel"/>
    <w:tmpl w:val="C78027EA"/>
    <w:lvl w:ilvl="0" w:tplc="C22490A8">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D6B7B"/>
    <w:multiLevelType w:val="hybridMultilevel"/>
    <w:tmpl w:val="14685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840DF"/>
    <w:multiLevelType w:val="hybridMultilevel"/>
    <w:tmpl w:val="CC708DB0"/>
    <w:lvl w:ilvl="0" w:tplc="38F8CE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6F3189"/>
    <w:multiLevelType w:val="hybridMultilevel"/>
    <w:tmpl w:val="BD3A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A0439"/>
    <w:multiLevelType w:val="hybridMultilevel"/>
    <w:tmpl w:val="5D7E0CD8"/>
    <w:lvl w:ilvl="0" w:tplc="38F8CE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4F36A8"/>
    <w:multiLevelType w:val="hybridMultilevel"/>
    <w:tmpl w:val="C78027EA"/>
    <w:lvl w:ilvl="0" w:tplc="C22490A8">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16FFF"/>
    <w:multiLevelType w:val="hybridMultilevel"/>
    <w:tmpl w:val="959AB622"/>
    <w:lvl w:ilvl="0" w:tplc="38F8CE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86F27"/>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6BEB"/>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40028"/>
    <w:multiLevelType w:val="hybridMultilevel"/>
    <w:tmpl w:val="A1D0488C"/>
    <w:lvl w:ilvl="0" w:tplc="0FB29C4C">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D0AF6"/>
    <w:multiLevelType w:val="hybridMultilevel"/>
    <w:tmpl w:val="6A4C665E"/>
    <w:lvl w:ilvl="0" w:tplc="8E6897D6">
      <w:start w:val="1"/>
      <w:numFmt w:val="lowerLetter"/>
      <w:lvlText w:val="(%1)"/>
      <w:lvlJc w:val="left"/>
      <w:pPr>
        <w:ind w:left="990" w:hanging="360"/>
      </w:pPr>
      <w:rPr>
        <w:rFonts w:hint="default"/>
        <w:i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2BC56A03"/>
    <w:multiLevelType w:val="hybridMultilevel"/>
    <w:tmpl w:val="46302644"/>
    <w:lvl w:ilvl="0" w:tplc="861EC892">
      <w:start w:val="1"/>
      <w:numFmt w:val="lowerLetter"/>
      <w:lvlText w:val="(%1)"/>
      <w:lvlJc w:val="left"/>
      <w:pPr>
        <w:ind w:left="1051" w:hanging="360"/>
      </w:pPr>
      <w:rPr>
        <w:rFonts w:hint="default"/>
        <w:b w:val="0"/>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6" w15:restartNumberingAfterBreak="0">
    <w:nsid w:val="306F4191"/>
    <w:multiLevelType w:val="hybridMultilevel"/>
    <w:tmpl w:val="64FC9FC0"/>
    <w:lvl w:ilvl="0" w:tplc="FE465F4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57C72"/>
    <w:multiLevelType w:val="hybridMultilevel"/>
    <w:tmpl w:val="DC40FFD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A767605"/>
    <w:multiLevelType w:val="hybridMultilevel"/>
    <w:tmpl w:val="D26E45DA"/>
    <w:lvl w:ilvl="0" w:tplc="D50A7CC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3B725120"/>
    <w:multiLevelType w:val="hybridMultilevel"/>
    <w:tmpl w:val="2F9A750E"/>
    <w:lvl w:ilvl="0" w:tplc="3C88A22E">
      <w:start w:val="1"/>
      <w:numFmt w:val="lowerLetter"/>
      <w:lvlText w:val="(%1)"/>
      <w:lvlJc w:val="left"/>
      <w:pPr>
        <w:ind w:left="360" w:hanging="360"/>
      </w:pPr>
      <w:rPr>
        <w:rFonts w:ascii="Adani Regular" w:hAnsi="Adani Regular"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F710D"/>
    <w:multiLevelType w:val="hybridMultilevel"/>
    <w:tmpl w:val="B680006E"/>
    <w:lvl w:ilvl="0" w:tplc="D50A7CCE">
      <w:start w:val="1"/>
      <w:numFmt w:val="decimal"/>
      <w:lvlText w:val="%1."/>
      <w:lvlJc w:val="left"/>
      <w:pPr>
        <w:ind w:left="786" w:hanging="360"/>
      </w:pPr>
      <w:rPr>
        <w:rFonts w:hint="default"/>
      </w:rPr>
    </w:lvl>
    <w:lvl w:ilvl="1" w:tplc="40090019" w:tentative="1">
      <w:start w:val="1"/>
      <w:numFmt w:val="lowerLetter"/>
      <w:lvlText w:val="%2."/>
      <w:lvlJc w:val="left"/>
      <w:pPr>
        <w:ind w:left="1206" w:hanging="360"/>
      </w:pPr>
    </w:lvl>
    <w:lvl w:ilvl="2" w:tplc="4009001B" w:tentative="1">
      <w:start w:val="1"/>
      <w:numFmt w:val="lowerRoman"/>
      <w:lvlText w:val="%3."/>
      <w:lvlJc w:val="right"/>
      <w:pPr>
        <w:ind w:left="1926" w:hanging="180"/>
      </w:pPr>
    </w:lvl>
    <w:lvl w:ilvl="3" w:tplc="4009000F" w:tentative="1">
      <w:start w:val="1"/>
      <w:numFmt w:val="decimal"/>
      <w:lvlText w:val="%4."/>
      <w:lvlJc w:val="left"/>
      <w:pPr>
        <w:ind w:left="2646" w:hanging="360"/>
      </w:pPr>
    </w:lvl>
    <w:lvl w:ilvl="4" w:tplc="40090019" w:tentative="1">
      <w:start w:val="1"/>
      <w:numFmt w:val="lowerLetter"/>
      <w:lvlText w:val="%5."/>
      <w:lvlJc w:val="left"/>
      <w:pPr>
        <w:ind w:left="3366" w:hanging="360"/>
      </w:pPr>
    </w:lvl>
    <w:lvl w:ilvl="5" w:tplc="4009001B" w:tentative="1">
      <w:start w:val="1"/>
      <w:numFmt w:val="lowerRoman"/>
      <w:lvlText w:val="%6."/>
      <w:lvlJc w:val="right"/>
      <w:pPr>
        <w:ind w:left="4086" w:hanging="180"/>
      </w:pPr>
    </w:lvl>
    <w:lvl w:ilvl="6" w:tplc="4009000F" w:tentative="1">
      <w:start w:val="1"/>
      <w:numFmt w:val="decimal"/>
      <w:lvlText w:val="%7."/>
      <w:lvlJc w:val="left"/>
      <w:pPr>
        <w:ind w:left="4806" w:hanging="360"/>
      </w:pPr>
    </w:lvl>
    <w:lvl w:ilvl="7" w:tplc="40090019" w:tentative="1">
      <w:start w:val="1"/>
      <w:numFmt w:val="lowerLetter"/>
      <w:lvlText w:val="%8."/>
      <w:lvlJc w:val="left"/>
      <w:pPr>
        <w:ind w:left="5526" w:hanging="360"/>
      </w:pPr>
    </w:lvl>
    <w:lvl w:ilvl="8" w:tplc="4009001B" w:tentative="1">
      <w:start w:val="1"/>
      <w:numFmt w:val="lowerRoman"/>
      <w:lvlText w:val="%9."/>
      <w:lvlJc w:val="right"/>
      <w:pPr>
        <w:ind w:left="6246" w:hanging="180"/>
      </w:pPr>
    </w:lvl>
  </w:abstractNum>
  <w:abstractNum w:abstractNumId="21" w15:restartNumberingAfterBreak="0">
    <w:nsid w:val="45FD4A52"/>
    <w:multiLevelType w:val="hybridMultilevel"/>
    <w:tmpl w:val="CFAA3084"/>
    <w:lvl w:ilvl="0" w:tplc="38F8CE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32763"/>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82B75"/>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34DAC"/>
    <w:multiLevelType w:val="hybridMultilevel"/>
    <w:tmpl w:val="EE84FE32"/>
    <w:lvl w:ilvl="0" w:tplc="518485F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F1C8B"/>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4415F"/>
    <w:multiLevelType w:val="hybridMultilevel"/>
    <w:tmpl w:val="74A0AD52"/>
    <w:lvl w:ilvl="0" w:tplc="B4D4A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B157C"/>
    <w:multiLevelType w:val="hybridMultilevel"/>
    <w:tmpl w:val="497EDCC4"/>
    <w:lvl w:ilvl="0" w:tplc="FA844F80">
      <w:start w:val="1"/>
      <w:numFmt w:val="decimal"/>
      <w:lvlText w:val="(%1)"/>
      <w:lvlJc w:val="left"/>
      <w:pPr>
        <w:ind w:left="375" w:hanging="375"/>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5AEF5E8D"/>
    <w:multiLevelType w:val="multilevel"/>
    <w:tmpl w:val="DF3EC88A"/>
    <w:lvl w:ilvl="0">
      <w:start w:val="1"/>
      <w:numFmt w:val="decimal"/>
      <w:pStyle w:val="h1"/>
      <w:lvlText w:val="%1.0"/>
      <w:lvlJc w:val="left"/>
      <w:pPr>
        <w:tabs>
          <w:tab w:val="num" w:pos="720"/>
        </w:tabs>
        <w:ind w:left="720" w:hanging="720"/>
      </w:pPr>
      <w:rPr>
        <w:b/>
        <w:color w:val="auto"/>
      </w:rPr>
    </w:lvl>
    <w:lvl w:ilvl="1">
      <w:start w:val="1"/>
      <w:numFmt w:val="decimal"/>
      <w:pStyle w:val="tx1"/>
      <w:lvlText w:val="%1.%2"/>
      <w:lvlJc w:val="left"/>
      <w:pPr>
        <w:tabs>
          <w:tab w:val="num" w:pos="720"/>
        </w:tabs>
        <w:ind w:left="720" w:hanging="720"/>
      </w:pPr>
      <w:rPr>
        <w:rFonts w:ascii="Book Antiqua" w:hAnsi="Book Antiqua" w:hint="default"/>
        <w:b/>
        <w:i w:val="0"/>
        <w:color w:val="auto"/>
        <w:sz w:val="24"/>
        <w:szCs w:val="24"/>
      </w:rPr>
    </w:lvl>
    <w:lvl w:ilvl="2">
      <w:start w:val="1"/>
      <w:numFmt w:val="none"/>
      <w:pStyle w:val="tx2"/>
      <w:lvlText w:val="13.11"/>
      <w:lvlJc w:val="left"/>
      <w:pPr>
        <w:tabs>
          <w:tab w:val="num" w:pos="720"/>
        </w:tabs>
        <w:ind w:left="720" w:hanging="720"/>
      </w:pPr>
      <w:rPr>
        <w:rFonts w:ascii="Times New Roman" w:hAnsi="Times New Roman" w:cs="Times New Roman" w:hint="default"/>
        <w:b w:val="0"/>
        <w:color w:val="auto"/>
        <w:sz w:val="24"/>
        <w:szCs w:val="24"/>
      </w:rPr>
    </w:lvl>
    <w:lvl w:ilvl="3">
      <w:start w:val="1"/>
      <w:numFmt w:val="lowerLetter"/>
      <w:lvlText w:val="%4)"/>
      <w:lvlJc w:val="left"/>
      <w:pPr>
        <w:tabs>
          <w:tab w:val="num" w:pos="1080"/>
        </w:tabs>
        <w:ind w:left="1080" w:hanging="360"/>
      </w:pPr>
      <w:rPr>
        <w:rFonts w:ascii="Times New Roman" w:hAnsi="Times New Roman" w:cs="Times New Roman" w:hint="default"/>
        <w:b/>
        <w:color w:val="auto"/>
        <w:sz w:val="24"/>
        <w:szCs w:val="24"/>
      </w:rPr>
    </w:lvl>
    <w:lvl w:ilvl="4">
      <w:start w:val="1"/>
      <w:numFmt w:val="lowerLetter"/>
      <w:pStyle w:val="txa"/>
      <w:lvlText w:val="%5)"/>
      <w:lvlJc w:val="left"/>
      <w:pPr>
        <w:tabs>
          <w:tab w:val="num" w:pos="1728"/>
        </w:tabs>
        <w:ind w:left="1728"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9" w15:restartNumberingAfterBreak="0">
    <w:nsid w:val="5D903210"/>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80319"/>
    <w:multiLevelType w:val="hybridMultilevel"/>
    <w:tmpl w:val="F1328A58"/>
    <w:lvl w:ilvl="0" w:tplc="38F8CE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03689"/>
    <w:multiLevelType w:val="hybridMultilevel"/>
    <w:tmpl w:val="DF9E422A"/>
    <w:lvl w:ilvl="0" w:tplc="9740DE84">
      <w:start w:val="1"/>
      <w:numFmt w:val="lowerRoman"/>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D2C41"/>
    <w:multiLevelType w:val="multilevel"/>
    <w:tmpl w:val="306E5C66"/>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i w:val="0"/>
      </w:rPr>
    </w:lvl>
    <w:lvl w:ilvl="2">
      <w:start w:val="1"/>
      <w:numFmt w:val="decimal"/>
      <w:pStyle w:val="Heading3"/>
      <w:lvlText w:val="%1.%2.%3"/>
      <w:lvlJc w:val="left"/>
      <w:pPr>
        <w:tabs>
          <w:tab w:val="num" w:pos="720"/>
        </w:tabs>
        <w:ind w:left="720" w:hanging="720"/>
      </w:pPr>
      <w:rPr>
        <w:rFonts w:hint="default"/>
        <w:b w:val="0"/>
        <w:i w:val="0"/>
        <w:vertAlign w:val="baseline"/>
      </w:rPr>
    </w:lvl>
    <w:lvl w:ilvl="3">
      <w:start w:val="1"/>
      <w:numFmt w:val="lowerLetter"/>
      <w:pStyle w:val="Heading4"/>
      <w:lvlText w:val="(%4)"/>
      <w:lvlJc w:val="left"/>
      <w:pPr>
        <w:tabs>
          <w:tab w:val="num" w:pos="1440"/>
        </w:tabs>
        <w:ind w:left="1440" w:hanging="720"/>
      </w:pPr>
      <w:rPr>
        <w:rFonts w:hint="default"/>
        <w:b w:val="0"/>
        <w:i w:val="0"/>
      </w:rPr>
    </w:lvl>
    <w:lvl w:ilvl="4">
      <w:start w:val="1"/>
      <w:numFmt w:val="lowerRoman"/>
      <w:pStyle w:val="Heading5"/>
      <w:lvlText w:val="(%5)"/>
      <w:lvlJc w:val="left"/>
      <w:pPr>
        <w:tabs>
          <w:tab w:val="num" w:pos="2160"/>
        </w:tabs>
        <w:ind w:left="2160" w:hanging="720"/>
      </w:pPr>
      <w:rPr>
        <w:rFonts w:hint="default"/>
        <w:i w:val="0"/>
      </w:rPr>
    </w:lvl>
    <w:lvl w:ilvl="5">
      <w:start w:val="1"/>
      <w:numFmt w:val="upperLetter"/>
      <w:pStyle w:val="Heading6"/>
      <w:lvlText w:val="(%6)"/>
      <w:lvlJc w:val="left"/>
      <w:pPr>
        <w:tabs>
          <w:tab w:val="num" w:pos="2880"/>
        </w:tabs>
        <w:ind w:left="2880" w:hanging="720"/>
      </w:pPr>
      <w:rPr>
        <w:rFonts w:hint="default"/>
      </w:rPr>
    </w:lvl>
    <w:lvl w:ilvl="6">
      <w:start w:val="1"/>
      <w:numFmt w:val="decimal"/>
      <w:pStyle w:val="Heading7"/>
      <w:lvlText w:val="(%7)"/>
      <w:lvlJc w:val="left"/>
      <w:pPr>
        <w:tabs>
          <w:tab w:val="num" w:pos="3600"/>
        </w:tabs>
        <w:ind w:left="360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F32B02"/>
    <w:multiLevelType w:val="hybridMultilevel"/>
    <w:tmpl w:val="452E6BDC"/>
    <w:lvl w:ilvl="0" w:tplc="38F8CE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722C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553CBF"/>
    <w:multiLevelType w:val="hybridMultilevel"/>
    <w:tmpl w:val="64FC9FC0"/>
    <w:lvl w:ilvl="0" w:tplc="FE465F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2F1E"/>
    <w:multiLevelType w:val="hybridMultilevel"/>
    <w:tmpl w:val="0A4C7D5A"/>
    <w:lvl w:ilvl="0" w:tplc="4D74E26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12B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E722BE5"/>
    <w:multiLevelType w:val="multilevel"/>
    <w:tmpl w:val="6F06AFF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608681">
    <w:abstractNumId w:val="16"/>
  </w:num>
  <w:num w:numId="2" w16cid:durableId="1433471759">
    <w:abstractNumId w:val="1"/>
  </w:num>
  <w:num w:numId="3" w16cid:durableId="820972326">
    <w:abstractNumId w:val="23"/>
  </w:num>
  <w:num w:numId="4" w16cid:durableId="64884998">
    <w:abstractNumId w:val="11"/>
  </w:num>
  <w:num w:numId="5" w16cid:durableId="1771508541">
    <w:abstractNumId w:val="19"/>
  </w:num>
  <w:num w:numId="6" w16cid:durableId="1368916417">
    <w:abstractNumId w:val="24"/>
  </w:num>
  <w:num w:numId="7" w16cid:durableId="667252751">
    <w:abstractNumId w:val="33"/>
  </w:num>
  <w:num w:numId="8" w16cid:durableId="417481633">
    <w:abstractNumId w:val="30"/>
  </w:num>
  <w:num w:numId="9" w16cid:durableId="1673337832">
    <w:abstractNumId w:val="6"/>
  </w:num>
  <w:num w:numId="10" w16cid:durableId="1522279362">
    <w:abstractNumId w:val="10"/>
  </w:num>
  <w:num w:numId="11" w16cid:durableId="1791783362">
    <w:abstractNumId w:val="8"/>
  </w:num>
  <w:num w:numId="12" w16cid:durableId="266470680">
    <w:abstractNumId w:val="21"/>
  </w:num>
  <w:num w:numId="13" w16cid:durableId="1206068408">
    <w:abstractNumId w:val="7"/>
  </w:num>
  <w:num w:numId="14" w16cid:durableId="1748503728">
    <w:abstractNumId w:val="0"/>
  </w:num>
  <w:num w:numId="15" w16cid:durableId="655765483">
    <w:abstractNumId w:val="37"/>
  </w:num>
  <w:num w:numId="16" w16cid:durableId="240255740">
    <w:abstractNumId w:val="34"/>
  </w:num>
  <w:num w:numId="17" w16cid:durableId="1721250336">
    <w:abstractNumId w:val="38"/>
  </w:num>
  <w:num w:numId="18" w16cid:durableId="1934387360">
    <w:abstractNumId w:val="26"/>
  </w:num>
  <w:num w:numId="19" w16cid:durableId="119619630">
    <w:abstractNumId w:val="13"/>
  </w:num>
  <w:num w:numId="20" w16cid:durableId="1260262564">
    <w:abstractNumId w:val="5"/>
  </w:num>
  <w:num w:numId="21" w16cid:durableId="771315042">
    <w:abstractNumId w:val="32"/>
  </w:num>
  <w:num w:numId="22" w16cid:durableId="1280378389">
    <w:abstractNumId w:val="9"/>
  </w:num>
  <w:num w:numId="23" w16cid:durableId="824862589">
    <w:abstractNumId w:val="31"/>
  </w:num>
  <w:num w:numId="24" w16cid:durableId="2092433712">
    <w:abstractNumId w:val="4"/>
  </w:num>
  <w:num w:numId="25" w16cid:durableId="2023388953">
    <w:abstractNumId w:val="36"/>
  </w:num>
  <w:num w:numId="26" w16cid:durableId="1490057409">
    <w:abstractNumId w:val="27"/>
  </w:num>
  <w:num w:numId="27" w16cid:durableId="259995312">
    <w:abstractNumId w:val="22"/>
  </w:num>
  <w:num w:numId="28" w16cid:durableId="1119029203">
    <w:abstractNumId w:val="18"/>
  </w:num>
  <w:num w:numId="29" w16cid:durableId="807016210">
    <w:abstractNumId w:val="20"/>
  </w:num>
  <w:num w:numId="30" w16cid:durableId="1288662868">
    <w:abstractNumId w:val="15"/>
  </w:num>
  <w:num w:numId="31" w16cid:durableId="1156800013">
    <w:abstractNumId w:val="14"/>
  </w:num>
  <w:num w:numId="32" w16cid:durableId="195701038">
    <w:abstractNumId w:val="3"/>
  </w:num>
  <w:num w:numId="33" w16cid:durableId="1798136595">
    <w:abstractNumId w:val="35"/>
  </w:num>
  <w:num w:numId="34" w16cid:durableId="1465194867">
    <w:abstractNumId w:val="25"/>
  </w:num>
  <w:num w:numId="35" w16cid:durableId="107703043">
    <w:abstractNumId w:val="12"/>
  </w:num>
  <w:num w:numId="36" w16cid:durableId="1917741134">
    <w:abstractNumId w:val="29"/>
  </w:num>
  <w:num w:numId="37" w16cid:durableId="822890348">
    <w:abstractNumId w:val="17"/>
  </w:num>
  <w:num w:numId="38" w16cid:durableId="10692290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4712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4C"/>
    <w:rsid w:val="000016BC"/>
    <w:rsid w:val="00001992"/>
    <w:rsid w:val="000019AC"/>
    <w:rsid w:val="00001E07"/>
    <w:rsid w:val="00003758"/>
    <w:rsid w:val="00005C8A"/>
    <w:rsid w:val="00007A18"/>
    <w:rsid w:val="000104B5"/>
    <w:rsid w:val="00011013"/>
    <w:rsid w:val="000110D9"/>
    <w:rsid w:val="00013189"/>
    <w:rsid w:val="00027EE5"/>
    <w:rsid w:val="000351D9"/>
    <w:rsid w:val="000515C4"/>
    <w:rsid w:val="00051D6A"/>
    <w:rsid w:val="00052921"/>
    <w:rsid w:val="00055EBA"/>
    <w:rsid w:val="00061333"/>
    <w:rsid w:val="0006678C"/>
    <w:rsid w:val="000748CD"/>
    <w:rsid w:val="0008017E"/>
    <w:rsid w:val="0009151E"/>
    <w:rsid w:val="000958E3"/>
    <w:rsid w:val="000A0FA5"/>
    <w:rsid w:val="000A12F1"/>
    <w:rsid w:val="000A2C25"/>
    <w:rsid w:val="000A5CD7"/>
    <w:rsid w:val="000A64AC"/>
    <w:rsid w:val="000B3FDC"/>
    <w:rsid w:val="000C0646"/>
    <w:rsid w:val="000C2D07"/>
    <w:rsid w:val="000C73AD"/>
    <w:rsid w:val="000C7890"/>
    <w:rsid w:val="000D377A"/>
    <w:rsid w:val="000E04B3"/>
    <w:rsid w:val="000E131E"/>
    <w:rsid w:val="000E34FE"/>
    <w:rsid w:val="000E6084"/>
    <w:rsid w:val="000E673F"/>
    <w:rsid w:val="000E6F02"/>
    <w:rsid w:val="000E7330"/>
    <w:rsid w:val="000F098C"/>
    <w:rsid w:val="000F119A"/>
    <w:rsid w:val="000F11D2"/>
    <w:rsid w:val="000F6DE9"/>
    <w:rsid w:val="000F7C6A"/>
    <w:rsid w:val="00101AA3"/>
    <w:rsid w:val="00102EE7"/>
    <w:rsid w:val="00104421"/>
    <w:rsid w:val="00107AC6"/>
    <w:rsid w:val="00115DAD"/>
    <w:rsid w:val="00122F85"/>
    <w:rsid w:val="0012490A"/>
    <w:rsid w:val="00140430"/>
    <w:rsid w:val="00141117"/>
    <w:rsid w:val="00146D8F"/>
    <w:rsid w:val="001578F1"/>
    <w:rsid w:val="001629A3"/>
    <w:rsid w:val="00164FD6"/>
    <w:rsid w:val="00166A43"/>
    <w:rsid w:val="00183882"/>
    <w:rsid w:val="001A05C8"/>
    <w:rsid w:val="001A1C02"/>
    <w:rsid w:val="001A2EF3"/>
    <w:rsid w:val="001A6074"/>
    <w:rsid w:val="001A787B"/>
    <w:rsid w:val="001B108C"/>
    <w:rsid w:val="001B26DF"/>
    <w:rsid w:val="001C174C"/>
    <w:rsid w:val="001C399B"/>
    <w:rsid w:val="001C4645"/>
    <w:rsid w:val="001C4C4C"/>
    <w:rsid w:val="001C5C81"/>
    <w:rsid w:val="001C5D76"/>
    <w:rsid w:val="001D479B"/>
    <w:rsid w:val="001F4D36"/>
    <w:rsid w:val="002037C7"/>
    <w:rsid w:val="00216B2F"/>
    <w:rsid w:val="00217F28"/>
    <w:rsid w:val="0022140E"/>
    <w:rsid w:val="00224913"/>
    <w:rsid w:val="00230CD1"/>
    <w:rsid w:val="00237274"/>
    <w:rsid w:val="0024091F"/>
    <w:rsid w:val="002617B2"/>
    <w:rsid w:val="002627EE"/>
    <w:rsid w:val="002651D0"/>
    <w:rsid w:val="00266166"/>
    <w:rsid w:val="002704F5"/>
    <w:rsid w:val="00276C52"/>
    <w:rsid w:val="0027749B"/>
    <w:rsid w:val="00277866"/>
    <w:rsid w:val="0028103C"/>
    <w:rsid w:val="00282AEC"/>
    <w:rsid w:val="00283FAE"/>
    <w:rsid w:val="00286718"/>
    <w:rsid w:val="00286C87"/>
    <w:rsid w:val="0029083F"/>
    <w:rsid w:val="0029522E"/>
    <w:rsid w:val="00296143"/>
    <w:rsid w:val="002B4D5E"/>
    <w:rsid w:val="002B6014"/>
    <w:rsid w:val="002C0EDC"/>
    <w:rsid w:val="002C3D12"/>
    <w:rsid w:val="002C47C7"/>
    <w:rsid w:val="002C5455"/>
    <w:rsid w:val="002D2EA1"/>
    <w:rsid w:val="002D67CC"/>
    <w:rsid w:val="002D7E0C"/>
    <w:rsid w:val="002E0D18"/>
    <w:rsid w:val="002E2D9F"/>
    <w:rsid w:val="002E791A"/>
    <w:rsid w:val="002F0DC6"/>
    <w:rsid w:val="002F389D"/>
    <w:rsid w:val="00301956"/>
    <w:rsid w:val="003138B0"/>
    <w:rsid w:val="00314534"/>
    <w:rsid w:val="00317850"/>
    <w:rsid w:val="003218CA"/>
    <w:rsid w:val="003235AB"/>
    <w:rsid w:val="00327FEE"/>
    <w:rsid w:val="003376B3"/>
    <w:rsid w:val="00345924"/>
    <w:rsid w:val="00345BC9"/>
    <w:rsid w:val="0035545E"/>
    <w:rsid w:val="003573E1"/>
    <w:rsid w:val="00363252"/>
    <w:rsid w:val="00371BB0"/>
    <w:rsid w:val="00376E6D"/>
    <w:rsid w:val="00380244"/>
    <w:rsid w:val="003806B7"/>
    <w:rsid w:val="003814B3"/>
    <w:rsid w:val="0038437B"/>
    <w:rsid w:val="003844A0"/>
    <w:rsid w:val="00394DDE"/>
    <w:rsid w:val="0039681E"/>
    <w:rsid w:val="003A025A"/>
    <w:rsid w:val="003C3FBB"/>
    <w:rsid w:val="003D3A93"/>
    <w:rsid w:val="003D4991"/>
    <w:rsid w:val="003D6500"/>
    <w:rsid w:val="003D6D82"/>
    <w:rsid w:val="003E0347"/>
    <w:rsid w:val="003E0C94"/>
    <w:rsid w:val="003F13AF"/>
    <w:rsid w:val="00404456"/>
    <w:rsid w:val="004223E2"/>
    <w:rsid w:val="00423FF0"/>
    <w:rsid w:val="0043092D"/>
    <w:rsid w:val="0043344D"/>
    <w:rsid w:val="004420F0"/>
    <w:rsid w:val="00444AF7"/>
    <w:rsid w:val="004532DF"/>
    <w:rsid w:val="00457213"/>
    <w:rsid w:val="004809EB"/>
    <w:rsid w:val="00481602"/>
    <w:rsid w:val="004826F6"/>
    <w:rsid w:val="00492D2A"/>
    <w:rsid w:val="00496036"/>
    <w:rsid w:val="004B4B19"/>
    <w:rsid w:val="004B6742"/>
    <w:rsid w:val="004D1920"/>
    <w:rsid w:val="004E4199"/>
    <w:rsid w:val="004F1ADA"/>
    <w:rsid w:val="004F28F5"/>
    <w:rsid w:val="004F385D"/>
    <w:rsid w:val="0050492B"/>
    <w:rsid w:val="00521E02"/>
    <w:rsid w:val="005261B9"/>
    <w:rsid w:val="0053311C"/>
    <w:rsid w:val="00554079"/>
    <w:rsid w:val="005672D1"/>
    <w:rsid w:val="00584349"/>
    <w:rsid w:val="00586F00"/>
    <w:rsid w:val="00590D47"/>
    <w:rsid w:val="00591D67"/>
    <w:rsid w:val="005941AD"/>
    <w:rsid w:val="00596BA1"/>
    <w:rsid w:val="005A33EC"/>
    <w:rsid w:val="005A6C3C"/>
    <w:rsid w:val="005B0AB7"/>
    <w:rsid w:val="005B19AD"/>
    <w:rsid w:val="005B40EC"/>
    <w:rsid w:val="005C2B4A"/>
    <w:rsid w:val="005C353A"/>
    <w:rsid w:val="005C629D"/>
    <w:rsid w:val="005D0380"/>
    <w:rsid w:val="005D4683"/>
    <w:rsid w:val="005E23A5"/>
    <w:rsid w:val="005E3CE9"/>
    <w:rsid w:val="005E3FC1"/>
    <w:rsid w:val="005E4F1F"/>
    <w:rsid w:val="005E62AA"/>
    <w:rsid w:val="005F48A6"/>
    <w:rsid w:val="005F55AF"/>
    <w:rsid w:val="00606731"/>
    <w:rsid w:val="00607069"/>
    <w:rsid w:val="006073F9"/>
    <w:rsid w:val="0061096E"/>
    <w:rsid w:val="00613CD5"/>
    <w:rsid w:val="00616131"/>
    <w:rsid w:val="0061746C"/>
    <w:rsid w:val="00617C48"/>
    <w:rsid w:val="006217FE"/>
    <w:rsid w:val="00625CFD"/>
    <w:rsid w:val="006318B1"/>
    <w:rsid w:val="00643B2B"/>
    <w:rsid w:val="00643DB0"/>
    <w:rsid w:val="006469C0"/>
    <w:rsid w:val="00650E24"/>
    <w:rsid w:val="00653C27"/>
    <w:rsid w:val="00664162"/>
    <w:rsid w:val="006660E5"/>
    <w:rsid w:val="00667074"/>
    <w:rsid w:val="00673091"/>
    <w:rsid w:val="00673E42"/>
    <w:rsid w:val="00693134"/>
    <w:rsid w:val="00694334"/>
    <w:rsid w:val="0069596C"/>
    <w:rsid w:val="0069698E"/>
    <w:rsid w:val="006A7E79"/>
    <w:rsid w:val="006C0F38"/>
    <w:rsid w:val="006C3719"/>
    <w:rsid w:val="006C4B38"/>
    <w:rsid w:val="006C51A2"/>
    <w:rsid w:val="006C573F"/>
    <w:rsid w:val="006C5815"/>
    <w:rsid w:val="006C6457"/>
    <w:rsid w:val="006C6949"/>
    <w:rsid w:val="006D4EC5"/>
    <w:rsid w:val="006D5F57"/>
    <w:rsid w:val="007054AB"/>
    <w:rsid w:val="00710D0B"/>
    <w:rsid w:val="00712173"/>
    <w:rsid w:val="00713294"/>
    <w:rsid w:val="0072079D"/>
    <w:rsid w:val="00721C46"/>
    <w:rsid w:val="00723426"/>
    <w:rsid w:val="007251BA"/>
    <w:rsid w:val="007257D5"/>
    <w:rsid w:val="007300C7"/>
    <w:rsid w:val="00732A7A"/>
    <w:rsid w:val="0073333F"/>
    <w:rsid w:val="00734519"/>
    <w:rsid w:val="00741347"/>
    <w:rsid w:val="00743982"/>
    <w:rsid w:val="007439C6"/>
    <w:rsid w:val="00745110"/>
    <w:rsid w:val="007460A2"/>
    <w:rsid w:val="007655DF"/>
    <w:rsid w:val="00767CA4"/>
    <w:rsid w:val="00780DD2"/>
    <w:rsid w:val="00781E2F"/>
    <w:rsid w:val="00785D5A"/>
    <w:rsid w:val="007A0423"/>
    <w:rsid w:val="007A052C"/>
    <w:rsid w:val="007A3359"/>
    <w:rsid w:val="007A498F"/>
    <w:rsid w:val="007C0AC7"/>
    <w:rsid w:val="007C25E8"/>
    <w:rsid w:val="007C5F33"/>
    <w:rsid w:val="007C7D4E"/>
    <w:rsid w:val="007D16DA"/>
    <w:rsid w:val="007D323E"/>
    <w:rsid w:val="007D3C0A"/>
    <w:rsid w:val="007E0A86"/>
    <w:rsid w:val="007E4C33"/>
    <w:rsid w:val="007E6999"/>
    <w:rsid w:val="007F05CC"/>
    <w:rsid w:val="007F5DB0"/>
    <w:rsid w:val="00802E04"/>
    <w:rsid w:val="0080749B"/>
    <w:rsid w:val="00826E61"/>
    <w:rsid w:val="00830133"/>
    <w:rsid w:val="00832ED2"/>
    <w:rsid w:val="00833D21"/>
    <w:rsid w:val="0083513B"/>
    <w:rsid w:val="00844C16"/>
    <w:rsid w:val="00857671"/>
    <w:rsid w:val="00860D9A"/>
    <w:rsid w:val="0086111E"/>
    <w:rsid w:val="0086224E"/>
    <w:rsid w:val="0086342D"/>
    <w:rsid w:val="00871675"/>
    <w:rsid w:val="00873C39"/>
    <w:rsid w:val="00874A42"/>
    <w:rsid w:val="00875624"/>
    <w:rsid w:val="008759A3"/>
    <w:rsid w:val="008803C1"/>
    <w:rsid w:val="0088130D"/>
    <w:rsid w:val="0088262B"/>
    <w:rsid w:val="00895D66"/>
    <w:rsid w:val="00896583"/>
    <w:rsid w:val="008B2686"/>
    <w:rsid w:val="008B7190"/>
    <w:rsid w:val="008C030F"/>
    <w:rsid w:val="008C74B2"/>
    <w:rsid w:val="008D3FFE"/>
    <w:rsid w:val="008D4F0B"/>
    <w:rsid w:val="008D5D90"/>
    <w:rsid w:val="008D75AB"/>
    <w:rsid w:val="008E49A0"/>
    <w:rsid w:val="008E6815"/>
    <w:rsid w:val="008F2348"/>
    <w:rsid w:val="008F3F71"/>
    <w:rsid w:val="008F6553"/>
    <w:rsid w:val="008F72E6"/>
    <w:rsid w:val="008F790D"/>
    <w:rsid w:val="0090354F"/>
    <w:rsid w:val="00904D8F"/>
    <w:rsid w:val="00907483"/>
    <w:rsid w:val="009159D9"/>
    <w:rsid w:val="00915CDA"/>
    <w:rsid w:val="00920A1A"/>
    <w:rsid w:val="00921700"/>
    <w:rsid w:val="00926F21"/>
    <w:rsid w:val="00932596"/>
    <w:rsid w:val="0093797B"/>
    <w:rsid w:val="0094316E"/>
    <w:rsid w:val="00952D0B"/>
    <w:rsid w:val="009536F7"/>
    <w:rsid w:val="00953EAA"/>
    <w:rsid w:val="009571F5"/>
    <w:rsid w:val="00965DF3"/>
    <w:rsid w:val="00976012"/>
    <w:rsid w:val="009821F1"/>
    <w:rsid w:val="00983A67"/>
    <w:rsid w:val="00985061"/>
    <w:rsid w:val="009852D9"/>
    <w:rsid w:val="0098554A"/>
    <w:rsid w:val="00993B07"/>
    <w:rsid w:val="009A019B"/>
    <w:rsid w:val="009A1F9D"/>
    <w:rsid w:val="009A6250"/>
    <w:rsid w:val="009B4C08"/>
    <w:rsid w:val="009B5623"/>
    <w:rsid w:val="009C0DA8"/>
    <w:rsid w:val="009C58F2"/>
    <w:rsid w:val="009C76C6"/>
    <w:rsid w:val="009D253A"/>
    <w:rsid w:val="009D37FB"/>
    <w:rsid w:val="009E034A"/>
    <w:rsid w:val="009F1237"/>
    <w:rsid w:val="009F1D7E"/>
    <w:rsid w:val="009F2460"/>
    <w:rsid w:val="009F52DC"/>
    <w:rsid w:val="009F627C"/>
    <w:rsid w:val="00A00A89"/>
    <w:rsid w:val="00A028CB"/>
    <w:rsid w:val="00A07F21"/>
    <w:rsid w:val="00A21FC4"/>
    <w:rsid w:val="00A2255D"/>
    <w:rsid w:val="00A22DC4"/>
    <w:rsid w:val="00A26433"/>
    <w:rsid w:val="00A277F6"/>
    <w:rsid w:val="00A33891"/>
    <w:rsid w:val="00A405BF"/>
    <w:rsid w:val="00A41E91"/>
    <w:rsid w:val="00A52E95"/>
    <w:rsid w:val="00A566F7"/>
    <w:rsid w:val="00A600E7"/>
    <w:rsid w:val="00A62605"/>
    <w:rsid w:val="00A63E79"/>
    <w:rsid w:val="00A660B9"/>
    <w:rsid w:val="00A754F6"/>
    <w:rsid w:val="00A80213"/>
    <w:rsid w:val="00A82E0B"/>
    <w:rsid w:val="00A845AD"/>
    <w:rsid w:val="00A92A95"/>
    <w:rsid w:val="00A95B04"/>
    <w:rsid w:val="00AA363A"/>
    <w:rsid w:val="00AA59A6"/>
    <w:rsid w:val="00AA7FB6"/>
    <w:rsid w:val="00AB2AAF"/>
    <w:rsid w:val="00AC2395"/>
    <w:rsid w:val="00AD034B"/>
    <w:rsid w:val="00AE5D21"/>
    <w:rsid w:val="00AE660F"/>
    <w:rsid w:val="00AF79E9"/>
    <w:rsid w:val="00B016DE"/>
    <w:rsid w:val="00B05000"/>
    <w:rsid w:val="00B0747F"/>
    <w:rsid w:val="00B07BDD"/>
    <w:rsid w:val="00B07F03"/>
    <w:rsid w:val="00B11433"/>
    <w:rsid w:val="00B127DF"/>
    <w:rsid w:val="00B22A14"/>
    <w:rsid w:val="00B30C5B"/>
    <w:rsid w:val="00B327E5"/>
    <w:rsid w:val="00B406A3"/>
    <w:rsid w:val="00B423A3"/>
    <w:rsid w:val="00B437A9"/>
    <w:rsid w:val="00B4453C"/>
    <w:rsid w:val="00B46370"/>
    <w:rsid w:val="00B50614"/>
    <w:rsid w:val="00B56990"/>
    <w:rsid w:val="00B56DE2"/>
    <w:rsid w:val="00B57AEE"/>
    <w:rsid w:val="00B57B49"/>
    <w:rsid w:val="00B61699"/>
    <w:rsid w:val="00B65598"/>
    <w:rsid w:val="00B7131A"/>
    <w:rsid w:val="00B742AD"/>
    <w:rsid w:val="00B8203F"/>
    <w:rsid w:val="00B82F5A"/>
    <w:rsid w:val="00BA0D72"/>
    <w:rsid w:val="00BA2444"/>
    <w:rsid w:val="00BA2834"/>
    <w:rsid w:val="00BA3660"/>
    <w:rsid w:val="00BA5BF5"/>
    <w:rsid w:val="00BB0E79"/>
    <w:rsid w:val="00BB5D30"/>
    <w:rsid w:val="00BC0784"/>
    <w:rsid w:val="00BC299A"/>
    <w:rsid w:val="00BC3EE5"/>
    <w:rsid w:val="00BC7BDD"/>
    <w:rsid w:val="00BC7BE2"/>
    <w:rsid w:val="00BD0686"/>
    <w:rsid w:val="00BD56C5"/>
    <w:rsid w:val="00BE4626"/>
    <w:rsid w:val="00BE4D8F"/>
    <w:rsid w:val="00BE683E"/>
    <w:rsid w:val="00BF4EBF"/>
    <w:rsid w:val="00BF5576"/>
    <w:rsid w:val="00C013FB"/>
    <w:rsid w:val="00C15D6A"/>
    <w:rsid w:val="00C21250"/>
    <w:rsid w:val="00C22BD1"/>
    <w:rsid w:val="00C251AB"/>
    <w:rsid w:val="00C27063"/>
    <w:rsid w:val="00C32325"/>
    <w:rsid w:val="00C32B40"/>
    <w:rsid w:val="00C520B3"/>
    <w:rsid w:val="00C565A9"/>
    <w:rsid w:val="00C6592D"/>
    <w:rsid w:val="00C70064"/>
    <w:rsid w:val="00C75CF1"/>
    <w:rsid w:val="00C81895"/>
    <w:rsid w:val="00C82AAF"/>
    <w:rsid w:val="00C9000C"/>
    <w:rsid w:val="00C91902"/>
    <w:rsid w:val="00CA40AC"/>
    <w:rsid w:val="00CA5BC9"/>
    <w:rsid w:val="00CA701A"/>
    <w:rsid w:val="00CB51C1"/>
    <w:rsid w:val="00CC073E"/>
    <w:rsid w:val="00CC1A63"/>
    <w:rsid w:val="00CC1B3C"/>
    <w:rsid w:val="00CC36FE"/>
    <w:rsid w:val="00CC60B8"/>
    <w:rsid w:val="00CD4C69"/>
    <w:rsid w:val="00CE27F3"/>
    <w:rsid w:val="00CF1475"/>
    <w:rsid w:val="00CF5359"/>
    <w:rsid w:val="00D05BFF"/>
    <w:rsid w:val="00D07C5B"/>
    <w:rsid w:val="00D11908"/>
    <w:rsid w:val="00D169E5"/>
    <w:rsid w:val="00D17B1B"/>
    <w:rsid w:val="00D239D9"/>
    <w:rsid w:val="00D3041C"/>
    <w:rsid w:val="00D32F97"/>
    <w:rsid w:val="00D34BA1"/>
    <w:rsid w:val="00D4265A"/>
    <w:rsid w:val="00D459BC"/>
    <w:rsid w:val="00D526E8"/>
    <w:rsid w:val="00D52EB6"/>
    <w:rsid w:val="00D54F16"/>
    <w:rsid w:val="00D62228"/>
    <w:rsid w:val="00D66155"/>
    <w:rsid w:val="00D83555"/>
    <w:rsid w:val="00D86CFC"/>
    <w:rsid w:val="00D969EA"/>
    <w:rsid w:val="00DA33AA"/>
    <w:rsid w:val="00DA3C7F"/>
    <w:rsid w:val="00DA546F"/>
    <w:rsid w:val="00DA72A3"/>
    <w:rsid w:val="00DC3A93"/>
    <w:rsid w:val="00DD2510"/>
    <w:rsid w:val="00DD4337"/>
    <w:rsid w:val="00DD7FDB"/>
    <w:rsid w:val="00DF1C3E"/>
    <w:rsid w:val="00E001AB"/>
    <w:rsid w:val="00E010E3"/>
    <w:rsid w:val="00E04B1A"/>
    <w:rsid w:val="00E22FCD"/>
    <w:rsid w:val="00E3081F"/>
    <w:rsid w:val="00E337B5"/>
    <w:rsid w:val="00E429D9"/>
    <w:rsid w:val="00E4439D"/>
    <w:rsid w:val="00E51CC9"/>
    <w:rsid w:val="00E54F5F"/>
    <w:rsid w:val="00E62C36"/>
    <w:rsid w:val="00E75E5B"/>
    <w:rsid w:val="00E81758"/>
    <w:rsid w:val="00EA4624"/>
    <w:rsid w:val="00EB1E26"/>
    <w:rsid w:val="00EB2FE1"/>
    <w:rsid w:val="00EB340E"/>
    <w:rsid w:val="00EB3476"/>
    <w:rsid w:val="00EB7A23"/>
    <w:rsid w:val="00EC508F"/>
    <w:rsid w:val="00EC6676"/>
    <w:rsid w:val="00EF07B7"/>
    <w:rsid w:val="00EF1056"/>
    <w:rsid w:val="00EF54C3"/>
    <w:rsid w:val="00EF568B"/>
    <w:rsid w:val="00F01279"/>
    <w:rsid w:val="00F032E3"/>
    <w:rsid w:val="00F055EE"/>
    <w:rsid w:val="00F05C14"/>
    <w:rsid w:val="00F06D4A"/>
    <w:rsid w:val="00F12699"/>
    <w:rsid w:val="00F16912"/>
    <w:rsid w:val="00F33003"/>
    <w:rsid w:val="00F33489"/>
    <w:rsid w:val="00F34B83"/>
    <w:rsid w:val="00F36148"/>
    <w:rsid w:val="00F41FCA"/>
    <w:rsid w:val="00F42A61"/>
    <w:rsid w:val="00F4334F"/>
    <w:rsid w:val="00F50805"/>
    <w:rsid w:val="00F5152D"/>
    <w:rsid w:val="00F617AD"/>
    <w:rsid w:val="00F67FA1"/>
    <w:rsid w:val="00F700AF"/>
    <w:rsid w:val="00F701FB"/>
    <w:rsid w:val="00F720E8"/>
    <w:rsid w:val="00F83F51"/>
    <w:rsid w:val="00F91B2F"/>
    <w:rsid w:val="00F9543C"/>
    <w:rsid w:val="00F96302"/>
    <w:rsid w:val="00F97EE1"/>
    <w:rsid w:val="00FA06B3"/>
    <w:rsid w:val="00FA67A2"/>
    <w:rsid w:val="00FB1FC5"/>
    <w:rsid w:val="00FB4CD3"/>
    <w:rsid w:val="00FB5638"/>
    <w:rsid w:val="00FB7ECA"/>
    <w:rsid w:val="00FC0A3E"/>
    <w:rsid w:val="00FC4503"/>
    <w:rsid w:val="00FC487E"/>
    <w:rsid w:val="00FC4A52"/>
    <w:rsid w:val="00FC76CB"/>
    <w:rsid w:val="00FD79F3"/>
    <w:rsid w:val="00FE54C6"/>
    <w:rsid w:val="00FE6F09"/>
    <w:rsid w:val="00FF0B5A"/>
    <w:rsid w:val="00FF20B6"/>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1F3B"/>
  <w15:docId w15:val="{26C9B03F-F77C-4F86-ACEC-9779DBDE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FE1"/>
    <w:pPr>
      <w:jc w:val="both"/>
    </w:pPr>
    <w:rPr>
      <w:rFonts w:ascii="Adani Regular" w:hAnsi="Adani Regular"/>
      <w:sz w:val="20"/>
    </w:rPr>
  </w:style>
  <w:style w:type="paragraph" w:styleId="Heading1">
    <w:name w:val="heading 1"/>
    <w:aliases w:val="level1,No numbers,H1,Main Heading,Heading A,Heading1,Head1,Heading apps,Para1,Section Heading,MAIN HEADING,1. Level 1 Heading,Title1,L1,Level 1,Appendix,Appendix1,Appendix2,Appendix3,no pg,I1,1st level,l1,Chapter title,título1,H11,R1,69%,1,c"/>
    <w:basedOn w:val="Normal"/>
    <w:next w:val="Normal"/>
    <w:link w:val="Heading1Char"/>
    <w:qFormat/>
    <w:rsid w:val="00363252"/>
    <w:pPr>
      <w:widowControl w:val="0"/>
      <w:numPr>
        <w:numId w:val="21"/>
      </w:numPr>
      <w:spacing w:after="240" w:line="240" w:lineRule="auto"/>
      <w:outlineLvl w:val="0"/>
    </w:pPr>
    <w:rPr>
      <w:rFonts w:ascii="Times New Roman Bold" w:hAnsi="Times New Roman Bold" w:cs="Times New Roman"/>
      <w:b/>
      <w:bCs/>
      <w:caps/>
      <w:sz w:val="24"/>
      <w:szCs w:val="24"/>
      <w:lang w:val="en-IN"/>
    </w:rPr>
  </w:style>
  <w:style w:type="paragraph" w:styleId="Heading2">
    <w:name w:val="heading 2"/>
    <w:aliases w:val="Sub Headings,body,h2,test,Attribute Heading 2,l2,list 2,list 2,heading 2TOC,Head 2,List level 2,2,Header 2,H2,h2 main heading,B Sub/Bold,B Sub/Bold1,B Sub/Bold2,B Sub/Bold11,h2 main heading1,h2 main heading2,B Sub/Bold3,B Sub/Bold12,Para,1.1"/>
    <w:basedOn w:val="Normal"/>
    <w:next w:val="Normal"/>
    <w:link w:val="Heading2Char"/>
    <w:qFormat/>
    <w:rsid w:val="00363252"/>
    <w:pPr>
      <w:widowControl w:val="0"/>
      <w:numPr>
        <w:ilvl w:val="1"/>
        <w:numId w:val="21"/>
      </w:numPr>
      <w:spacing w:after="240" w:line="240" w:lineRule="auto"/>
      <w:outlineLvl w:val="1"/>
    </w:pPr>
    <w:rPr>
      <w:rFonts w:ascii="Times New Roman Bold" w:hAnsi="Times New Roman Bold" w:cs="Times New Roman"/>
      <w:b/>
      <w:sz w:val="24"/>
      <w:szCs w:val="20"/>
    </w:rPr>
  </w:style>
  <w:style w:type="paragraph" w:styleId="Heading3">
    <w:name w:val="heading 3"/>
    <w:aliases w:val="h:3,H3,h3,H31,C Sub-Sub/Italic,h3 sub heading,Head 3,Head 31,Head 32,C Sub-Sub/Italic1,3,Sub2Para,Heading 3a,h31,h32,Para3,Title3,l3,(Alt+3),3m,sub-sub-para,Table Attribute Heading,H32,H33,H311,Subhead B,Heading C,H34,H312,H321,H331,H3111,H35"/>
    <w:basedOn w:val="Normal"/>
    <w:next w:val="Normal"/>
    <w:link w:val="Heading3Char"/>
    <w:qFormat/>
    <w:rsid w:val="00363252"/>
    <w:pPr>
      <w:numPr>
        <w:ilvl w:val="2"/>
        <w:numId w:val="21"/>
      </w:numPr>
      <w:spacing w:after="240" w:line="240" w:lineRule="auto"/>
      <w:outlineLvl w:val="2"/>
    </w:pPr>
    <w:rPr>
      <w:rFonts w:ascii="Times New Roman" w:hAnsi="Times New Roman" w:cs="Times New Roman"/>
      <w:sz w:val="24"/>
      <w:szCs w:val="20"/>
      <w:lang w:val="en-IN"/>
    </w:rPr>
  </w:style>
  <w:style w:type="paragraph" w:styleId="Heading4">
    <w:name w:val="heading 4"/>
    <w:aliases w:val="Body,h4 sub sub heading,h4,4,sub-sub-sub-sect,Subsection,Level 2 - a,H4,(Alt+4),H41,(Alt+4)1,H42,(Alt+4)2,H43,(Alt+4)3,H44,(Alt+4)4,H45,(Alt+4)5,H411,(Alt+4)11,H421,(Alt+4)21,H431,(Alt+4)31,H46,(Alt+4)6,H412,(Alt+4)12,H422,(Alt+4)22,H432,i,(i"/>
    <w:basedOn w:val="Normal"/>
    <w:next w:val="Normal"/>
    <w:link w:val="Heading4Char"/>
    <w:qFormat/>
    <w:rsid w:val="00363252"/>
    <w:pPr>
      <w:widowControl w:val="0"/>
      <w:numPr>
        <w:ilvl w:val="3"/>
        <w:numId w:val="21"/>
      </w:numPr>
      <w:spacing w:after="240" w:line="240" w:lineRule="auto"/>
      <w:outlineLvl w:val="3"/>
    </w:pPr>
    <w:rPr>
      <w:rFonts w:ascii="Times New Roman" w:hAnsi="Times New Roman" w:cs="Times New Roman"/>
      <w:bCs/>
      <w:spacing w:val="-3"/>
      <w:sz w:val="24"/>
      <w:szCs w:val="24"/>
      <w:lang w:val="en-IN"/>
    </w:rPr>
  </w:style>
  <w:style w:type="paragraph" w:styleId="Heading5">
    <w:name w:val="heading 5"/>
    <w:aliases w:val="Titre5,Level 3 - i,h5,H5,s,l5+toc5,(A),A,Sub4Para,Heading 5(unused),1.1.1.1.1,Level 3 - (i),Para5,Para51,h51,h52,L5,Heading 5 StGeorge,3rd sub-clause,Block Label,Heading 5 Interstar,Level 5,Document Title 2,h5 Char Char,Body Text (R)"/>
    <w:basedOn w:val="Normal"/>
    <w:next w:val="Normal"/>
    <w:link w:val="Heading5Char"/>
    <w:uiPriority w:val="99"/>
    <w:unhideWhenUsed/>
    <w:qFormat/>
    <w:rsid w:val="00363252"/>
    <w:pPr>
      <w:widowControl w:val="0"/>
      <w:numPr>
        <w:ilvl w:val="4"/>
        <w:numId w:val="21"/>
      </w:numPr>
      <w:spacing w:after="240" w:line="240" w:lineRule="auto"/>
      <w:outlineLvl w:val="4"/>
    </w:pPr>
    <w:rPr>
      <w:rFonts w:ascii="Times New Roman" w:eastAsia="Times New Roman" w:hAnsi="Times New Roman" w:cs="Times New Roman"/>
      <w:bCs/>
      <w:iCs/>
      <w:sz w:val="24"/>
      <w:szCs w:val="26"/>
      <w:lang w:val="en-IN"/>
    </w:rPr>
  </w:style>
  <w:style w:type="paragraph" w:styleId="Heading6">
    <w:name w:val="heading 6"/>
    <w:aliases w:val="sub-dash,sd,5,Legal Level 1.,H6,as,(I),I,Body Text 5,Sub5Para,Heading 6(unused),b,a.,a.1,h6, not Kinhill,Not Kinhill,Square Bullet list,Heading 6 Interstar,6,Level 6,L1 PIP,Name of Org,Points in Text,dash GS,level6,Lev 6,. (a.),OG Distribution"/>
    <w:basedOn w:val="Normal"/>
    <w:next w:val="Normal"/>
    <w:link w:val="Heading6Char"/>
    <w:unhideWhenUsed/>
    <w:qFormat/>
    <w:rsid w:val="00363252"/>
    <w:pPr>
      <w:widowControl w:val="0"/>
      <w:numPr>
        <w:ilvl w:val="5"/>
        <w:numId w:val="21"/>
      </w:numPr>
      <w:spacing w:after="240" w:line="240" w:lineRule="auto"/>
      <w:outlineLvl w:val="5"/>
    </w:pPr>
    <w:rPr>
      <w:rFonts w:ascii="Times New Roman" w:eastAsia="Times New Roman" w:hAnsi="Times New Roman" w:cs="Times New Roman"/>
      <w:bCs/>
      <w:sz w:val="24"/>
      <w:lang w:val="en-IN"/>
    </w:rPr>
  </w:style>
  <w:style w:type="paragraph" w:styleId="Heading7">
    <w:name w:val="heading 7"/>
    <w:aliases w:val="Legal Level 1.1.,ap,(1),Body Text 6,Heading 7(unused),i.,i.1,not Kinhill,not Kinhill1,Indented hyphen,H7,not Kinhill11,h7,7,L2 PIP,square GS,level1noheading,Lev 7,hd7,. [(1)],not Kinhill111,H7 Char,7 Char"/>
    <w:basedOn w:val="Normal"/>
    <w:next w:val="Normal"/>
    <w:link w:val="Heading7Char"/>
    <w:uiPriority w:val="99"/>
    <w:unhideWhenUsed/>
    <w:qFormat/>
    <w:rsid w:val="00363252"/>
    <w:pPr>
      <w:widowControl w:val="0"/>
      <w:numPr>
        <w:ilvl w:val="6"/>
        <w:numId w:val="21"/>
      </w:numPr>
      <w:spacing w:after="240" w:line="240" w:lineRule="auto"/>
      <w:outlineLvl w:val="6"/>
    </w:pPr>
    <w:rPr>
      <w:rFonts w:ascii="Times New Roman" w:eastAsia="Times New Roman" w:hAnsi="Times New Roman" w:cs="Times New Roman"/>
      <w:sz w:val="24"/>
      <w:szCs w:val="24"/>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5A"/>
  </w:style>
  <w:style w:type="paragraph" w:styleId="Footer">
    <w:name w:val="footer"/>
    <w:basedOn w:val="Normal"/>
    <w:link w:val="FooterChar"/>
    <w:uiPriority w:val="99"/>
    <w:unhideWhenUsed/>
    <w:rsid w:val="00785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5A"/>
  </w:style>
  <w:style w:type="paragraph" w:styleId="BalloonText">
    <w:name w:val="Balloon Text"/>
    <w:basedOn w:val="Normal"/>
    <w:link w:val="BalloonTextChar"/>
    <w:uiPriority w:val="99"/>
    <w:semiHidden/>
    <w:unhideWhenUsed/>
    <w:rsid w:val="008C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30F"/>
    <w:rPr>
      <w:rFonts w:ascii="Segoe UI" w:hAnsi="Segoe UI" w:cs="Segoe UI"/>
      <w:sz w:val="18"/>
      <w:szCs w:val="18"/>
    </w:rPr>
  </w:style>
  <w:style w:type="paragraph" w:styleId="ListParagraph">
    <w:name w:val="List Paragraph"/>
    <w:aliases w:val="List Paragraph-B,Adani Bullet 1,List of tables,Resume Title,Citation List,Bullets"/>
    <w:basedOn w:val="Normal"/>
    <w:link w:val="ListParagraphChar"/>
    <w:uiPriority w:val="1"/>
    <w:qFormat/>
    <w:rsid w:val="007A0423"/>
    <w:pPr>
      <w:ind w:left="720"/>
      <w:contextualSpacing/>
    </w:pPr>
  </w:style>
  <w:style w:type="character" w:customStyle="1" w:styleId="Heading1Char">
    <w:name w:val="Heading 1 Char"/>
    <w:aliases w:val="level1 Char,No numbers Char,H1 Char,Main Heading Char,Heading A Char,Heading1 Char,Head1 Char,Heading apps Char,Para1 Char,Section Heading Char,MAIN HEADING Char,1. Level 1 Heading Char,Title1 Char,L1 Char,Level 1 Char,Appendix Char"/>
    <w:basedOn w:val="DefaultParagraphFont"/>
    <w:link w:val="Heading1"/>
    <w:rsid w:val="00363252"/>
    <w:rPr>
      <w:rFonts w:ascii="Times New Roman Bold" w:eastAsia="MS Mincho" w:hAnsi="Times New Roman Bold" w:cs="Times New Roman"/>
      <w:b/>
      <w:bCs/>
      <w:caps/>
      <w:sz w:val="24"/>
      <w:szCs w:val="24"/>
      <w:lang w:val="en-IN"/>
    </w:rPr>
  </w:style>
  <w:style w:type="character" w:customStyle="1" w:styleId="Heading2Char">
    <w:name w:val="Heading 2 Char"/>
    <w:aliases w:val="Sub Headings Char,body Char,h2 Char,test Char,Attribute Heading 2 Char,l2 Char,list 2 Char,list 2 Char,heading 2TOC Char,Head 2 Char,List level 2 Char,2 Char,Header 2 Char,H2 Char,h2 main heading Char,B Sub/Bold Char,B Sub/Bold1 Char"/>
    <w:basedOn w:val="DefaultParagraphFont"/>
    <w:link w:val="Heading2"/>
    <w:rsid w:val="00363252"/>
    <w:rPr>
      <w:rFonts w:ascii="Times New Roman Bold" w:eastAsia="MS Mincho" w:hAnsi="Times New Roman Bold" w:cs="Times New Roman"/>
      <w:b/>
      <w:sz w:val="24"/>
      <w:szCs w:val="20"/>
    </w:rPr>
  </w:style>
  <w:style w:type="character" w:customStyle="1" w:styleId="Heading3Char">
    <w:name w:val="Heading 3 Char"/>
    <w:aliases w:val="h:3 Char,H3 Char,h3 Char,H31 Char,C Sub-Sub/Italic Char,h3 sub heading Char,Head 3 Char,Head 31 Char,Head 32 Char,C Sub-Sub/Italic1 Char,3 Char,Sub2Para Char,Heading 3a Char,h31 Char,h32 Char,Para3 Char,Title3 Char,l3 Char,(Alt+3) Char"/>
    <w:basedOn w:val="DefaultParagraphFont"/>
    <w:link w:val="Heading3"/>
    <w:rsid w:val="00363252"/>
    <w:rPr>
      <w:rFonts w:ascii="Times New Roman" w:eastAsia="MS Mincho" w:hAnsi="Times New Roman" w:cs="Times New Roman"/>
      <w:sz w:val="24"/>
      <w:szCs w:val="20"/>
      <w:lang w:val="en-IN"/>
    </w:rPr>
  </w:style>
  <w:style w:type="character" w:customStyle="1" w:styleId="Heading4Char">
    <w:name w:val="Heading 4 Char"/>
    <w:aliases w:val="Body Char,h4 sub sub heading Char,h4 Char,4 Char,sub-sub-sub-sect Char,Subsection Char,Level 2 - a Char,H4 Char,(Alt+4) Char,H41 Char,(Alt+4)1 Char,H42 Char,(Alt+4)2 Char,H43 Char,(Alt+4)3 Char,H44 Char,(Alt+4)4 Char,H45 Char,H411 Char"/>
    <w:basedOn w:val="DefaultParagraphFont"/>
    <w:link w:val="Heading4"/>
    <w:rsid w:val="00363252"/>
    <w:rPr>
      <w:rFonts w:ascii="Times New Roman" w:eastAsia="MS Mincho" w:hAnsi="Times New Roman" w:cs="Times New Roman"/>
      <w:bCs/>
      <w:spacing w:val="-3"/>
      <w:sz w:val="24"/>
      <w:szCs w:val="24"/>
      <w:lang w:val="en-IN"/>
    </w:rPr>
  </w:style>
  <w:style w:type="character" w:customStyle="1" w:styleId="Heading5Char">
    <w:name w:val="Heading 5 Char"/>
    <w:aliases w:val="Titre5 Char,Level 3 - i Char,h5 Char,H5 Char,s Char,l5+toc5 Char,(A) Char,A Char,Sub4Para Char,Heading 5(unused) Char,1.1.1.1.1 Char,Level 3 - (i) Char,Para5 Char,Para51 Char,h51 Char,h52 Char,L5 Char,Heading 5 StGeorge Char,Level 5 Char"/>
    <w:basedOn w:val="DefaultParagraphFont"/>
    <w:link w:val="Heading5"/>
    <w:uiPriority w:val="99"/>
    <w:rsid w:val="00363252"/>
    <w:rPr>
      <w:rFonts w:ascii="Times New Roman" w:eastAsia="Times New Roman" w:hAnsi="Times New Roman" w:cs="Times New Roman"/>
      <w:bCs/>
      <w:iCs/>
      <w:sz w:val="24"/>
      <w:szCs w:val="26"/>
      <w:lang w:val="en-IN"/>
    </w:rPr>
  </w:style>
  <w:style w:type="character" w:customStyle="1" w:styleId="Heading6Char">
    <w:name w:val="Heading 6 Char"/>
    <w:aliases w:val="sub-dash Char,sd Char,5 Char,Legal Level 1. Char,H6 Char,as Char,(I) Char,I Char,Body Text 5 Char,Sub5Para Char,Heading 6(unused) Char,b Char,a. Char,a.1 Char,h6 Char, not Kinhill Char,Not Kinhill Char,Square Bullet list Char,6 Char"/>
    <w:basedOn w:val="DefaultParagraphFont"/>
    <w:link w:val="Heading6"/>
    <w:rsid w:val="00363252"/>
    <w:rPr>
      <w:rFonts w:ascii="Times New Roman" w:eastAsia="Times New Roman" w:hAnsi="Times New Roman" w:cs="Times New Roman"/>
      <w:bCs/>
      <w:sz w:val="24"/>
      <w:lang w:val="en-IN"/>
    </w:rPr>
  </w:style>
  <w:style w:type="character" w:customStyle="1" w:styleId="Heading7Char">
    <w:name w:val="Heading 7 Char"/>
    <w:aliases w:val="Legal Level 1.1. Char,ap Char,(1) Char,Body Text 6 Char,Heading 7(unused) Char,i. Char,i.1 Char,not Kinhill Char,not Kinhill1 Char,Indented hyphen Char,H7 Char1,not Kinhill11 Char,h7 Char,7 Char1,L2 PIP Char,square GS Char,Lev 7 Char"/>
    <w:basedOn w:val="DefaultParagraphFont"/>
    <w:link w:val="Heading7"/>
    <w:uiPriority w:val="99"/>
    <w:rsid w:val="00363252"/>
    <w:rPr>
      <w:rFonts w:ascii="Times New Roman" w:eastAsia="Times New Roman" w:hAnsi="Times New Roman" w:cs="Times New Roman"/>
      <w:sz w:val="24"/>
      <w:szCs w:val="24"/>
      <w:lang w:val="en-IN"/>
    </w:rPr>
  </w:style>
  <w:style w:type="character" w:styleId="CommentReference">
    <w:name w:val="annotation reference"/>
    <w:basedOn w:val="DefaultParagraphFont"/>
    <w:uiPriority w:val="99"/>
    <w:semiHidden/>
    <w:unhideWhenUsed/>
    <w:rsid w:val="000F7C6A"/>
    <w:rPr>
      <w:sz w:val="16"/>
      <w:szCs w:val="16"/>
    </w:rPr>
  </w:style>
  <w:style w:type="paragraph" w:styleId="CommentText">
    <w:name w:val="annotation text"/>
    <w:basedOn w:val="Normal"/>
    <w:link w:val="CommentTextChar"/>
    <w:uiPriority w:val="99"/>
    <w:semiHidden/>
    <w:unhideWhenUsed/>
    <w:rsid w:val="000F7C6A"/>
    <w:pPr>
      <w:spacing w:line="240" w:lineRule="auto"/>
    </w:pPr>
    <w:rPr>
      <w:szCs w:val="20"/>
    </w:rPr>
  </w:style>
  <w:style w:type="character" w:customStyle="1" w:styleId="CommentTextChar">
    <w:name w:val="Comment Text Char"/>
    <w:basedOn w:val="DefaultParagraphFont"/>
    <w:link w:val="CommentText"/>
    <w:uiPriority w:val="99"/>
    <w:semiHidden/>
    <w:rsid w:val="000F7C6A"/>
    <w:rPr>
      <w:sz w:val="20"/>
      <w:szCs w:val="20"/>
    </w:rPr>
  </w:style>
  <w:style w:type="paragraph" w:styleId="CommentSubject">
    <w:name w:val="annotation subject"/>
    <w:basedOn w:val="CommentText"/>
    <w:next w:val="CommentText"/>
    <w:link w:val="CommentSubjectChar"/>
    <w:uiPriority w:val="99"/>
    <w:semiHidden/>
    <w:unhideWhenUsed/>
    <w:rsid w:val="000F7C6A"/>
    <w:rPr>
      <w:b/>
      <w:bCs/>
    </w:rPr>
  </w:style>
  <w:style w:type="character" w:customStyle="1" w:styleId="CommentSubjectChar">
    <w:name w:val="Comment Subject Char"/>
    <w:basedOn w:val="CommentTextChar"/>
    <w:link w:val="CommentSubject"/>
    <w:uiPriority w:val="99"/>
    <w:semiHidden/>
    <w:rsid w:val="000F7C6A"/>
    <w:rPr>
      <w:b/>
      <w:bCs/>
      <w:sz w:val="20"/>
      <w:szCs w:val="20"/>
    </w:rPr>
  </w:style>
  <w:style w:type="paragraph" w:styleId="Revision">
    <w:name w:val="Revision"/>
    <w:hidden/>
    <w:uiPriority w:val="99"/>
    <w:semiHidden/>
    <w:rsid w:val="00710D0B"/>
    <w:pPr>
      <w:spacing w:after="0" w:line="240" w:lineRule="auto"/>
    </w:pPr>
  </w:style>
  <w:style w:type="table" w:styleId="TableGrid">
    <w:name w:val="Table Grid"/>
    <w:basedOn w:val="TableNormal"/>
    <w:uiPriority w:val="59"/>
    <w:rsid w:val="001A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B Char,Adani Bullet 1 Char,List of tables Char,Resume Title Char,Citation List Char,Bullets Char"/>
    <w:basedOn w:val="DefaultParagraphFont"/>
    <w:link w:val="ListParagraph"/>
    <w:uiPriority w:val="1"/>
    <w:rsid w:val="00871675"/>
    <w:rPr>
      <w:rFonts w:ascii="Adani Regular" w:hAnsi="Adani Regular"/>
      <w:sz w:val="20"/>
    </w:rPr>
  </w:style>
  <w:style w:type="paragraph" w:customStyle="1" w:styleId="h1">
    <w:name w:val="h1"/>
    <w:basedOn w:val="Normal"/>
    <w:rsid w:val="00CA5BC9"/>
    <w:pPr>
      <w:numPr>
        <w:numId w:val="38"/>
      </w:numPr>
      <w:spacing w:after="120" w:line="240" w:lineRule="auto"/>
      <w:jc w:val="left"/>
    </w:pPr>
    <w:rPr>
      <w:rFonts w:ascii="Arial" w:eastAsiaTheme="minorHAnsi" w:hAnsi="Arial" w:cs="Arial"/>
      <w:b/>
      <w:bCs/>
      <w:szCs w:val="20"/>
    </w:rPr>
  </w:style>
  <w:style w:type="paragraph" w:customStyle="1" w:styleId="tx2">
    <w:name w:val="tx2"/>
    <w:basedOn w:val="Normal"/>
    <w:rsid w:val="00CA5BC9"/>
    <w:pPr>
      <w:numPr>
        <w:ilvl w:val="2"/>
        <w:numId w:val="38"/>
      </w:numPr>
      <w:spacing w:after="120" w:line="240" w:lineRule="auto"/>
    </w:pPr>
    <w:rPr>
      <w:rFonts w:ascii="Arial" w:eastAsiaTheme="minorHAnsi" w:hAnsi="Arial" w:cs="Arial"/>
      <w:szCs w:val="20"/>
    </w:rPr>
  </w:style>
  <w:style w:type="paragraph" w:customStyle="1" w:styleId="tx1">
    <w:name w:val="tx1"/>
    <w:basedOn w:val="Normal"/>
    <w:rsid w:val="00CA5BC9"/>
    <w:pPr>
      <w:numPr>
        <w:ilvl w:val="1"/>
        <w:numId w:val="38"/>
      </w:numPr>
      <w:spacing w:after="120" w:line="240" w:lineRule="auto"/>
      <w:ind w:right="-72"/>
    </w:pPr>
    <w:rPr>
      <w:rFonts w:ascii="Arial" w:eastAsiaTheme="minorHAnsi" w:hAnsi="Arial" w:cs="Arial"/>
      <w:szCs w:val="20"/>
    </w:rPr>
  </w:style>
  <w:style w:type="paragraph" w:customStyle="1" w:styleId="txa">
    <w:name w:val="txa"/>
    <w:basedOn w:val="Normal"/>
    <w:rsid w:val="00CA5BC9"/>
    <w:pPr>
      <w:numPr>
        <w:ilvl w:val="4"/>
        <w:numId w:val="38"/>
      </w:numPr>
      <w:spacing w:after="120" w:line="240" w:lineRule="auto"/>
    </w:pPr>
    <w:rPr>
      <w:rFonts w:ascii="Arial" w:eastAsiaTheme="minorHAnsi" w:hAnsi="Arial" w:cs="Arial"/>
      <w:szCs w:val="20"/>
    </w:rPr>
  </w:style>
  <w:style w:type="character" w:customStyle="1" w:styleId="normaltextrun">
    <w:name w:val="normaltextrun"/>
    <w:basedOn w:val="DefaultParagraphFont"/>
    <w:rsid w:val="00101AA3"/>
  </w:style>
  <w:style w:type="character" w:customStyle="1" w:styleId="eop">
    <w:name w:val="eop"/>
    <w:basedOn w:val="DefaultParagraphFont"/>
    <w:rsid w:val="0010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77535">
      <w:bodyDiv w:val="1"/>
      <w:marLeft w:val="0"/>
      <w:marRight w:val="0"/>
      <w:marTop w:val="0"/>
      <w:marBottom w:val="0"/>
      <w:divBdr>
        <w:top w:val="none" w:sz="0" w:space="0" w:color="auto"/>
        <w:left w:val="none" w:sz="0" w:space="0" w:color="auto"/>
        <w:bottom w:val="none" w:sz="0" w:space="0" w:color="auto"/>
        <w:right w:val="none" w:sz="0" w:space="0" w:color="auto"/>
      </w:divBdr>
    </w:div>
    <w:div w:id="20427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C3E4C-E5A7-4A4F-A3B0-381D76C2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Gurav, Dayanand</dc:creator>
  <cp:keywords/>
  <dc:description/>
  <cp:lastModifiedBy>Dhruv Thakkar</cp:lastModifiedBy>
  <cp:revision>44</cp:revision>
  <cp:lastPrinted>2019-03-06T06:01:00Z</cp:lastPrinted>
  <dcterms:created xsi:type="dcterms:W3CDTF">2020-01-28T06:41:00Z</dcterms:created>
  <dcterms:modified xsi:type="dcterms:W3CDTF">2024-02-21T13:18:00Z</dcterms:modified>
</cp:coreProperties>
</file>