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AD89" w14:textId="77777777" w:rsidR="0082400D" w:rsidRPr="00C61DAE" w:rsidRDefault="0082400D" w:rsidP="0082400D">
      <w:pPr>
        <w:rPr>
          <w:rFonts w:ascii="Times New Roman" w:hAnsi="Times New Roman" w:cs="Times New Roman"/>
          <w:sz w:val="20"/>
        </w:rPr>
      </w:pPr>
      <w:r w:rsidRPr="00C61DAE">
        <w:rPr>
          <w:rFonts w:ascii="Times New Roman" w:hAnsi="Times New Roman" w:cs="Times New Roman"/>
          <w:sz w:val="20"/>
        </w:rPr>
        <w:t>29 November 2023</w:t>
      </w:r>
    </w:p>
    <w:p w14:paraId="35CC428D" w14:textId="77777777" w:rsidR="0082400D" w:rsidRPr="00C61DAE" w:rsidRDefault="0082400D" w:rsidP="0082400D">
      <w:pPr>
        <w:rPr>
          <w:rFonts w:ascii="Times New Roman" w:hAnsi="Times New Roman" w:cs="Times New Roman"/>
          <w:sz w:val="20"/>
        </w:rPr>
      </w:pPr>
    </w:p>
    <w:p w14:paraId="7821F6A2" w14:textId="77777777" w:rsidR="0082400D" w:rsidRPr="00C61DAE" w:rsidRDefault="0082400D" w:rsidP="0082400D">
      <w:pPr>
        <w:spacing w:after="0" w:line="240" w:lineRule="auto"/>
        <w:ind w:left="810" w:hanging="810"/>
        <w:jc w:val="both"/>
        <w:rPr>
          <w:rFonts w:ascii="Times New Roman" w:hAnsi="Times New Roman" w:cs="Times New Roman"/>
          <w:sz w:val="20"/>
        </w:rPr>
      </w:pPr>
      <w:r w:rsidRPr="00C61DAE">
        <w:rPr>
          <w:rFonts w:ascii="Times New Roman" w:hAnsi="Times New Roman" w:cs="Times New Roman"/>
          <w:sz w:val="20"/>
        </w:rPr>
        <w:t>Gaurav Dewan</w:t>
      </w:r>
    </w:p>
    <w:p w14:paraId="49FF95C5" w14:textId="77777777" w:rsidR="0082400D" w:rsidRPr="00C61DAE" w:rsidRDefault="0082400D" w:rsidP="0082400D">
      <w:pPr>
        <w:spacing w:after="0" w:line="240" w:lineRule="auto"/>
        <w:jc w:val="both"/>
        <w:rPr>
          <w:rFonts w:ascii="Times New Roman" w:hAnsi="Times New Roman" w:cs="Times New Roman"/>
          <w:sz w:val="20"/>
        </w:rPr>
      </w:pPr>
      <w:r w:rsidRPr="00C61DAE">
        <w:rPr>
          <w:rFonts w:ascii="Times New Roman" w:hAnsi="Times New Roman" w:cs="Times New Roman"/>
          <w:sz w:val="20"/>
        </w:rPr>
        <w:t>Chief Operating Officer / Principal Operator</w:t>
      </w:r>
    </w:p>
    <w:p w14:paraId="6D217636" w14:textId="77777777" w:rsidR="0082400D" w:rsidRPr="00C61DAE" w:rsidRDefault="0082400D" w:rsidP="0082400D">
      <w:pPr>
        <w:pStyle w:val="DefaultText"/>
        <w:tabs>
          <w:tab w:val="left" w:pos="0"/>
          <w:tab w:val="left" w:pos="720"/>
          <w:tab w:val="decimal"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rPr>
      </w:pPr>
      <w:r w:rsidRPr="00C61DAE">
        <w:rPr>
          <w:rFonts w:ascii="Times New Roman" w:hAnsi="Times New Roman"/>
          <w:sz w:val="20"/>
        </w:rPr>
        <w:t xml:space="preserve">GMR Hospitality Limited </w:t>
      </w:r>
    </w:p>
    <w:p w14:paraId="37C0F90B" w14:textId="77777777" w:rsidR="0082400D" w:rsidRPr="00C61DAE" w:rsidRDefault="0082400D" w:rsidP="0082400D">
      <w:pPr>
        <w:spacing w:after="0" w:line="240" w:lineRule="auto"/>
        <w:rPr>
          <w:rFonts w:ascii="Times New Roman" w:eastAsia="Times New Roman" w:hAnsi="Times New Roman" w:cs="Times New Roman"/>
          <w:snapToGrid w:val="0"/>
          <w:sz w:val="20"/>
          <w:lang w:val="en-GB"/>
        </w:rPr>
      </w:pPr>
      <w:r w:rsidRPr="00C61DAE">
        <w:rPr>
          <w:rFonts w:ascii="Times New Roman" w:eastAsia="Times New Roman" w:hAnsi="Times New Roman" w:cs="Times New Roman"/>
          <w:snapToGrid w:val="0"/>
          <w:sz w:val="20"/>
          <w:lang w:val="en-GB"/>
        </w:rPr>
        <w:t>New Udaan Bhawan, Opp. Terminal 3</w:t>
      </w:r>
    </w:p>
    <w:p w14:paraId="011EE58E" w14:textId="77777777" w:rsidR="0082400D" w:rsidRPr="00C61DAE" w:rsidRDefault="0082400D" w:rsidP="0082400D">
      <w:pPr>
        <w:spacing w:after="0" w:line="240" w:lineRule="auto"/>
        <w:rPr>
          <w:rFonts w:ascii="Times New Roman" w:eastAsia="Times New Roman" w:hAnsi="Times New Roman" w:cs="Times New Roman"/>
          <w:snapToGrid w:val="0"/>
          <w:sz w:val="20"/>
          <w:lang w:val="en-GB"/>
        </w:rPr>
      </w:pPr>
      <w:r w:rsidRPr="00C61DAE">
        <w:rPr>
          <w:rFonts w:ascii="Times New Roman" w:eastAsia="Times New Roman" w:hAnsi="Times New Roman" w:cs="Times New Roman"/>
          <w:snapToGrid w:val="0"/>
          <w:sz w:val="20"/>
          <w:lang w:val="en-GB"/>
        </w:rPr>
        <w:t>Indira Gandhi International Airport</w:t>
      </w:r>
    </w:p>
    <w:p w14:paraId="195921CD" w14:textId="77777777" w:rsidR="0082400D" w:rsidRPr="00C61DAE" w:rsidRDefault="0082400D" w:rsidP="0082400D">
      <w:pPr>
        <w:spacing w:after="0" w:line="240" w:lineRule="auto"/>
        <w:rPr>
          <w:rFonts w:ascii="Times New Roman" w:eastAsia="Times New Roman" w:hAnsi="Times New Roman" w:cs="Times New Roman"/>
          <w:snapToGrid w:val="0"/>
          <w:sz w:val="20"/>
          <w:lang w:val="en-GB"/>
        </w:rPr>
      </w:pPr>
      <w:r w:rsidRPr="00C61DAE">
        <w:rPr>
          <w:rFonts w:ascii="Times New Roman" w:eastAsia="Times New Roman" w:hAnsi="Times New Roman" w:cs="Times New Roman"/>
          <w:snapToGrid w:val="0"/>
          <w:sz w:val="20"/>
          <w:lang w:val="en-GB"/>
        </w:rPr>
        <w:t>New Delhi 110 037</w:t>
      </w:r>
    </w:p>
    <w:p w14:paraId="0B726535" w14:textId="77777777" w:rsidR="0082400D" w:rsidRPr="00C61DAE" w:rsidRDefault="0082400D" w:rsidP="0082400D">
      <w:pPr>
        <w:spacing w:line="240" w:lineRule="auto"/>
        <w:rPr>
          <w:rFonts w:ascii="Times New Roman" w:hAnsi="Times New Roman" w:cs="Times New Roman"/>
          <w:sz w:val="20"/>
        </w:rPr>
      </w:pPr>
      <w:r w:rsidRPr="00C61DAE">
        <w:rPr>
          <w:rFonts w:ascii="Times New Roman" w:hAnsi="Times New Roman" w:cs="Times New Roman"/>
          <w:sz w:val="20"/>
        </w:rPr>
        <w:t xml:space="preserve">Email: </w:t>
      </w:r>
      <w:hyperlink r:id="rId7" w:history="1">
        <w:r w:rsidRPr="00C61DAE">
          <w:rPr>
            <w:rStyle w:val="Hyperlink"/>
            <w:rFonts w:ascii="Times New Roman" w:hAnsi="Times New Roman" w:cs="Times New Roman"/>
            <w:sz w:val="20"/>
          </w:rPr>
          <w:t>gaurav.dewan@travelfoodservices.com</w:t>
        </w:r>
      </w:hyperlink>
      <w:r w:rsidRPr="00C61DAE">
        <w:rPr>
          <w:rFonts w:ascii="Times New Roman" w:hAnsi="Times New Roman" w:cs="Times New Roman"/>
          <w:sz w:val="20"/>
        </w:rPr>
        <w:t xml:space="preserve"> </w:t>
      </w:r>
    </w:p>
    <w:p w14:paraId="4E69E848" w14:textId="77777777" w:rsidR="0082400D" w:rsidRPr="00C61DAE" w:rsidRDefault="0082400D" w:rsidP="0082400D">
      <w:pPr>
        <w:rPr>
          <w:rFonts w:ascii="Times New Roman" w:hAnsi="Times New Roman" w:cs="Times New Roman"/>
          <w:sz w:val="20"/>
        </w:rPr>
      </w:pPr>
    </w:p>
    <w:p w14:paraId="5000F476" w14:textId="77777777" w:rsidR="0082400D" w:rsidRPr="00C61DAE" w:rsidRDefault="0082400D" w:rsidP="0082400D">
      <w:pPr>
        <w:rPr>
          <w:rFonts w:ascii="Times New Roman" w:hAnsi="Times New Roman" w:cs="Times New Roman"/>
          <w:b/>
          <w:sz w:val="20"/>
          <w:u w:val="single"/>
        </w:rPr>
      </w:pPr>
      <w:r w:rsidRPr="00C61DAE">
        <w:rPr>
          <w:rFonts w:ascii="Times New Roman" w:hAnsi="Times New Roman" w:cs="Times New Roman"/>
          <w:b/>
          <w:sz w:val="20"/>
          <w:u w:val="single"/>
        </w:rPr>
        <w:t xml:space="preserve">Subject: Cross charges – KFC outlets </w:t>
      </w:r>
    </w:p>
    <w:p w14:paraId="101ED8BD" w14:textId="77777777" w:rsidR="0082400D" w:rsidRPr="00C61DAE" w:rsidRDefault="0082400D" w:rsidP="0082400D">
      <w:pPr>
        <w:rPr>
          <w:rFonts w:ascii="Times New Roman" w:hAnsi="Times New Roman" w:cs="Times New Roman"/>
          <w:sz w:val="20"/>
        </w:rPr>
      </w:pPr>
    </w:p>
    <w:p w14:paraId="0A6D767F" w14:textId="77777777" w:rsidR="0082400D" w:rsidRPr="00C61DAE" w:rsidRDefault="0082400D" w:rsidP="0082400D">
      <w:pPr>
        <w:rPr>
          <w:rFonts w:ascii="Times New Roman" w:hAnsi="Times New Roman" w:cs="Times New Roman"/>
          <w:sz w:val="20"/>
        </w:rPr>
      </w:pPr>
      <w:r w:rsidRPr="00C61DAE">
        <w:rPr>
          <w:rFonts w:ascii="Times New Roman" w:hAnsi="Times New Roman" w:cs="Times New Roman"/>
          <w:sz w:val="20"/>
        </w:rPr>
        <w:t>Dear Gaurav,</w:t>
      </w:r>
    </w:p>
    <w:p w14:paraId="36FB3C82" w14:textId="77777777" w:rsidR="0082400D" w:rsidRPr="00C61DAE" w:rsidRDefault="0082400D" w:rsidP="0082400D">
      <w:pPr>
        <w:jc w:val="both"/>
        <w:rPr>
          <w:rFonts w:ascii="Times New Roman" w:hAnsi="Times New Roman" w:cs="Times New Roman"/>
          <w:sz w:val="20"/>
        </w:rPr>
      </w:pPr>
      <w:r w:rsidRPr="00C61DAE">
        <w:rPr>
          <w:rFonts w:ascii="Times New Roman" w:hAnsi="Times New Roman" w:cs="Times New Roman"/>
          <w:sz w:val="20"/>
        </w:rPr>
        <w:t xml:space="preserve">As part of our endeavour in good faith, to delivering world class operations, provide consistency with regards to products and supplies across all restaurants, we need to improve consistency, speed, and execution. </w:t>
      </w:r>
    </w:p>
    <w:p w14:paraId="2B428EA3" w14:textId="77777777" w:rsidR="0082400D" w:rsidRPr="00C61DAE" w:rsidRDefault="0082400D" w:rsidP="0082400D">
      <w:pPr>
        <w:jc w:val="both"/>
        <w:rPr>
          <w:rFonts w:ascii="Times New Roman" w:hAnsi="Times New Roman" w:cs="Times New Roman"/>
          <w:sz w:val="20"/>
        </w:rPr>
      </w:pPr>
      <w:r w:rsidRPr="00C61DAE">
        <w:rPr>
          <w:rFonts w:ascii="Times New Roman" w:hAnsi="Times New Roman" w:cs="Times New Roman"/>
          <w:sz w:val="20"/>
        </w:rPr>
        <w:t>It is agreed between Yum! Restaurants (India) Pvt Ltd (“Yum”) and GMR Hospitality Limited (“GHL”), that Yum will facilitate with certain services of vendor identification, development, and price negotiation with regards to Approved Products and Supplies and GHL will purchase the supplies, materials, equipments and services used in the KFC Outlets operated by GHL exclusively from suppliers and distributors who have been approved by Yum (“SCM”).</w:t>
      </w:r>
    </w:p>
    <w:p w14:paraId="08EB39EA" w14:textId="77777777" w:rsidR="0082400D" w:rsidRPr="00C61DAE" w:rsidRDefault="0082400D" w:rsidP="0082400D">
      <w:pPr>
        <w:jc w:val="both"/>
        <w:rPr>
          <w:rFonts w:ascii="Times New Roman" w:hAnsi="Times New Roman" w:cs="Times New Roman"/>
          <w:sz w:val="20"/>
        </w:rPr>
      </w:pPr>
      <w:r w:rsidRPr="00C61DAE">
        <w:rPr>
          <w:rFonts w:ascii="Times New Roman" w:hAnsi="Times New Roman" w:cs="Times New Roman"/>
          <w:sz w:val="20"/>
        </w:rPr>
        <w:t>We have also engaged the services of various service providers to conduct quality audit to maintain standard quality levels across all restaurants by way of Restaurant Operations Compliance Check (“ROCC”) as well as allow restaurant teams to access various tools on our Learning Zone platform (“LMS”).</w:t>
      </w:r>
    </w:p>
    <w:p w14:paraId="05B87F15" w14:textId="77777777" w:rsidR="00C61DAE" w:rsidRPr="00C61DAE" w:rsidRDefault="00C61DAE" w:rsidP="00C61DAE">
      <w:pPr>
        <w:spacing w:after="0" w:line="240" w:lineRule="auto"/>
        <w:jc w:val="both"/>
        <w:rPr>
          <w:rFonts w:ascii="Times New Roman" w:hAnsi="Times New Roman" w:cs="Times New Roman"/>
          <w:sz w:val="20"/>
        </w:rPr>
      </w:pPr>
    </w:p>
    <w:p w14:paraId="417C110F" w14:textId="3A52634E" w:rsidR="0082400D" w:rsidRPr="00C61DAE" w:rsidRDefault="0082400D" w:rsidP="00C61DAE">
      <w:pPr>
        <w:spacing w:after="0" w:line="240" w:lineRule="auto"/>
        <w:jc w:val="both"/>
        <w:rPr>
          <w:rFonts w:ascii="Times New Roman" w:hAnsi="Times New Roman" w:cs="Times New Roman"/>
          <w:sz w:val="20"/>
        </w:rPr>
      </w:pPr>
      <w:r w:rsidRPr="00C61DAE">
        <w:rPr>
          <w:rFonts w:ascii="Times New Roman" w:hAnsi="Times New Roman" w:cs="Times New Roman"/>
          <w:sz w:val="20"/>
        </w:rPr>
        <w:t xml:space="preserve">ROCC, LMS and SCM together will be referred to as </w:t>
      </w:r>
      <w:r w:rsidRPr="00C61DAE">
        <w:rPr>
          <w:rFonts w:ascii="Times New Roman" w:hAnsi="Times New Roman" w:cs="Times New Roman"/>
          <w:b/>
          <w:sz w:val="20"/>
        </w:rPr>
        <w:t>“Services”</w:t>
      </w:r>
      <w:r w:rsidRPr="00C61DAE">
        <w:rPr>
          <w:rFonts w:ascii="Times New Roman" w:hAnsi="Times New Roman" w:cs="Times New Roman"/>
          <w:sz w:val="20"/>
        </w:rPr>
        <w:t xml:space="preserve"> herein after. </w:t>
      </w:r>
    </w:p>
    <w:p w14:paraId="4FA73B46" w14:textId="77777777" w:rsidR="0082400D" w:rsidRPr="00C61DAE" w:rsidRDefault="0082400D" w:rsidP="00C61DAE">
      <w:pPr>
        <w:spacing w:after="0" w:line="240" w:lineRule="auto"/>
        <w:jc w:val="both"/>
        <w:rPr>
          <w:rFonts w:ascii="Times New Roman" w:hAnsi="Times New Roman" w:cs="Times New Roman"/>
          <w:sz w:val="20"/>
        </w:rPr>
      </w:pPr>
    </w:p>
    <w:p w14:paraId="5D99C990" w14:textId="77777777" w:rsidR="0082400D" w:rsidRPr="00C61DAE" w:rsidRDefault="0082400D" w:rsidP="00C61DAE">
      <w:pPr>
        <w:spacing w:after="0" w:line="240" w:lineRule="auto"/>
        <w:jc w:val="both"/>
        <w:rPr>
          <w:rFonts w:ascii="Times New Roman" w:hAnsi="Times New Roman" w:cs="Times New Roman"/>
          <w:sz w:val="20"/>
        </w:rPr>
      </w:pPr>
      <w:r w:rsidRPr="00C61DAE">
        <w:rPr>
          <w:rFonts w:ascii="Times New Roman" w:hAnsi="Times New Roman" w:cs="Times New Roman"/>
          <w:sz w:val="20"/>
        </w:rPr>
        <w:t>The Services are being extended to all the outlets operating under the brand “KFC” by GHL.</w:t>
      </w:r>
    </w:p>
    <w:p w14:paraId="6FD6910C" w14:textId="77777777" w:rsidR="0082400D" w:rsidRPr="00C61DAE" w:rsidRDefault="0082400D" w:rsidP="00C61DAE">
      <w:pPr>
        <w:spacing w:after="0" w:line="240" w:lineRule="auto"/>
        <w:jc w:val="both"/>
        <w:rPr>
          <w:rFonts w:ascii="Times New Roman" w:hAnsi="Times New Roman" w:cs="Times New Roman"/>
          <w:sz w:val="20"/>
        </w:rPr>
      </w:pPr>
    </w:p>
    <w:p w14:paraId="15875D3E" w14:textId="77777777" w:rsidR="0082400D" w:rsidRPr="00C61DAE" w:rsidRDefault="0082400D" w:rsidP="00C61DAE">
      <w:pPr>
        <w:spacing w:after="0" w:line="240" w:lineRule="auto"/>
        <w:jc w:val="both"/>
        <w:rPr>
          <w:rFonts w:ascii="Times New Roman" w:hAnsi="Times New Roman" w:cs="Times New Roman"/>
          <w:sz w:val="20"/>
        </w:rPr>
      </w:pPr>
      <w:r w:rsidRPr="00C61DAE">
        <w:rPr>
          <w:rFonts w:ascii="Times New Roman" w:hAnsi="Times New Roman" w:cs="Times New Roman"/>
          <w:sz w:val="20"/>
        </w:rPr>
        <w:t xml:space="preserve">The cost of Services will be applicable as per details set out in Table – A below. </w:t>
      </w:r>
    </w:p>
    <w:p w14:paraId="25E83151" w14:textId="77777777" w:rsidR="00C61DAE" w:rsidRPr="00C61DAE" w:rsidRDefault="00C61DAE" w:rsidP="00C61DAE">
      <w:pPr>
        <w:spacing w:after="0" w:line="240" w:lineRule="auto"/>
        <w:jc w:val="both"/>
        <w:rPr>
          <w:rFonts w:ascii="Times New Roman" w:hAnsi="Times New Roman" w:cs="Times New Roman"/>
          <w:sz w:val="20"/>
        </w:rPr>
      </w:pPr>
    </w:p>
    <w:p w14:paraId="6590B741" w14:textId="77777777" w:rsidR="00C61DAE" w:rsidRPr="00C61DAE" w:rsidRDefault="00C61DAE" w:rsidP="00C61DAE">
      <w:pPr>
        <w:spacing w:after="0" w:line="240" w:lineRule="auto"/>
        <w:jc w:val="both"/>
        <w:rPr>
          <w:rFonts w:ascii="Times New Roman" w:hAnsi="Times New Roman" w:cs="Times New Roman"/>
          <w:sz w:val="20"/>
        </w:rPr>
      </w:pPr>
    </w:p>
    <w:p w14:paraId="3BE4BD6F" w14:textId="77777777" w:rsidR="00C61DAE" w:rsidRPr="00C61DAE" w:rsidRDefault="00C61DAE" w:rsidP="00C61DAE">
      <w:pPr>
        <w:spacing w:after="0" w:line="240" w:lineRule="auto"/>
        <w:jc w:val="both"/>
        <w:rPr>
          <w:rFonts w:ascii="Times New Roman" w:hAnsi="Times New Roman" w:cs="Times New Roman"/>
          <w:sz w:val="20"/>
        </w:rPr>
      </w:pPr>
    </w:p>
    <w:tbl>
      <w:tblPr>
        <w:tblStyle w:val="TableGrid"/>
        <w:tblpPr w:leftFromText="180" w:rightFromText="180" w:vertAnchor="text" w:horzAnchor="margin" w:tblpXSpec="center" w:tblpY="171"/>
        <w:tblW w:w="0" w:type="auto"/>
        <w:tblLook w:val="04A0" w:firstRow="1" w:lastRow="0" w:firstColumn="1" w:lastColumn="0" w:noHBand="0" w:noVBand="1"/>
      </w:tblPr>
      <w:tblGrid>
        <w:gridCol w:w="985"/>
        <w:gridCol w:w="1980"/>
        <w:gridCol w:w="2444"/>
        <w:gridCol w:w="2451"/>
      </w:tblGrid>
      <w:tr w:rsidR="0082400D" w:rsidRPr="00C61DAE" w14:paraId="706CD422" w14:textId="77777777" w:rsidTr="00AC0518">
        <w:trPr>
          <w:trHeight w:val="350"/>
        </w:trPr>
        <w:tc>
          <w:tcPr>
            <w:tcW w:w="7860" w:type="dxa"/>
            <w:gridSpan w:val="4"/>
          </w:tcPr>
          <w:p w14:paraId="0510CBF3" w14:textId="77777777" w:rsidR="0082400D" w:rsidRPr="00C61DAE" w:rsidRDefault="0082400D" w:rsidP="00AC0518">
            <w:pPr>
              <w:jc w:val="center"/>
              <w:rPr>
                <w:rFonts w:ascii="Times New Roman" w:hAnsi="Times New Roman" w:cs="Times New Roman"/>
                <w:b/>
                <w:sz w:val="20"/>
                <w:szCs w:val="20"/>
              </w:rPr>
            </w:pPr>
            <w:r w:rsidRPr="00C61DAE">
              <w:rPr>
                <w:rFonts w:ascii="Times New Roman" w:hAnsi="Times New Roman" w:cs="Times New Roman"/>
                <w:b/>
                <w:sz w:val="20"/>
                <w:szCs w:val="20"/>
              </w:rPr>
              <w:t xml:space="preserve">Table – A </w:t>
            </w:r>
          </w:p>
        </w:tc>
      </w:tr>
      <w:tr w:rsidR="0082400D" w:rsidRPr="00C61DAE" w14:paraId="6DCC51A4" w14:textId="77777777" w:rsidTr="00AC0518">
        <w:tc>
          <w:tcPr>
            <w:tcW w:w="985" w:type="dxa"/>
          </w:tcPr>
          <w:p w14:paraId="1A1318A9" w14:textId="77777777" w:rsidR="0082400D" w:rsidRPr="00C61DAE" w:rsidRDefault="0082400D" w:rsidP="00AC0518">
            <w:pPr>
              <w:jc w:val="center"/>
              <w:rPr>
                <w:rFonts w:ascii="Times New Roman" w:hAnsi="Times New Roman" w:cs="Times New Roman"/>
                <w:sz w:val="20"/>
                <w:szCs w:val="20"/>
              </w:rPr>
            </w:pPr>
            <w:r w:rsidRPr="00C61DAE">
              <w:rPr>
                <w:rFonts w:ascii="Times New Roman" w:hAnsi="Times New Roman" w:cs="Times New Roman"/>
                <w:sz w:val="20"/>
                <w:szCs w:val="20"/>
              </w:rPr>
              <w:t>S. No</w:t>
            </w:r>
          </w:p>
        </w:tc>
        <w:tc>
          <w:tcPr>
            <w:tcW w:w="1980" w:type="dxa"/>
          </w:tcPr>
          <w:p w14:paraId="69A5CC0E" w14:textId="77777777" w:rsidR="0082400D" w:rsidRPr="00C61DAE" w:rsidRDefault="0082400D" w:rsidP="00AC0518">
            <w:pPr>
              <w:jc w:val="center"/>
              <w:rPr>
                <w:rFonts w:ascii="Times New Roman" w:hAnsi="Times New Roman" w:cs="Times New Roman"/>
                <w:sz w:val="20"/>
                <w:szCs w:val="20"/>
              </w:rPr>
            </w:pPr>
            <w:r w:rsidRPr="00C61DAE">
              <w:rPr>
                <w:rFonts w:ascii="Times New Roman" w:hAnsi="Times New Roman" w:cs="Times New Roman"/>
                <w:sz w:val="20"/>
                <w:szCs w:val="20"/>
              </w:rPr>
              <w:t>Particulars</w:t>
            </w:r>
          </w:p>
        </w:tc>
        <w:tc>
          <w:tcPr>
            <w:tcW w:w="2444" w:type="dxa"/>
          </w:tcPr>
          <w:p w14:paraId="18922BED" w14:textId="77777777" w:rsidR="0082400D" w:rsidRPr="00C61DAE" w:rsidRDefault="0082400D" w:rsidP="00AC0518">
            <w:pPr>
              <w:jc w:val="center"/>
              <w:rPr>
                <w:rFonts w:ascii="Times New Roman" w:hAnsi="Times New Roman" w:cs="Times New Roman"/>
                <w:sz w:val="20"/>
                <w:szCs w:val="20"/>
              </w:rPr>
            </w:pPr>
            <w:r w:rsidRPr="00C61DAE">
              <w:rPr>
                <w:rFonts w:ascii="Times New Roman" w:hAnsi="Times New Roman" w:cs="Times New Roman"/>
                <w:sz w:val="20"/>
                <w:szCs w:val="20"/>
              </w:rPr>
              <w:t>Cost of Services (INR / USD)</w:t>
            </w:r>
          </w:p>
        </w:tc>
        <w:tc>
          <w:tcPr>
            <w:tcW w:w="2451" w:type="dxa"/>
          </w:tcPr>
          <w:p w14:paraId="3AABD9B9" w14:textId="77777777" w:rsidR="0082400D" w:rsidRPr="00C61DAE" w:rsidRDefault="0082400D" w:rsidP="00AC0518">
            <w:pPr>
              <w:jc w:val="center"/>
              <w:rPr>
                <w:rFonts w:ascii="Times New Roman" w:hAnsi="Times New Roman" w:cs="Times New Roman"/>
                <w:sz w:val="20"/>
                <w:szCs w:val="20"/>
              </w:rPr>
            </w:pPr>
            <w:r w:rsidRPr="00C61DAE">
              <w:rPr>
                <w:rFonts w:ascii="Times New Roman" w:hAnsi="Times New Roman" w:cs="Times New Roman"/>
                <w:sz w:val="20"/>
                <w:szCs w:val="20"/>
              </w:rPr>
              <w:t xml:space="preserve">Details </w:t>
            </w:r>
          </w:p>
        </w:tc>
      </w:tr>
      <w:tr w:rsidR="0082400D" w:rsidRPr="00C61DAE" w14:paraId="5805434A" w14:textId="77777777" w:rsidTr="00AC0518">
        <w:trPr>
          <w:trHeight w:val="482"/>
        </w:trPr>
        <w:tc>
          <w:tcPr>
            <w:tcW w:w="985" w:type="dxa"/>
          </w:tcPr>
          <w:p w14:paraId="5264ECB3" w14:textId="77777777" w:rsidR="0082400D" w:rsidRPr="00C61DAE" w:rsidRDefault="0082400D" w:rsidP="00AC0518">
            <w:pPr>
              <w:jc w:val="both"/>
              <w:rPr>
                <w:rFonts w:ascii="Times New Roman" w:hAnsi="Times New Roman" w:cs="Times New Roman"/>
                <w:sz w:val="20"/>
                <w:szCs w:val="20"/>
              </w:rPr>
            </w:pPr>
            <w:r w:rsidRPr="00C61DAE">
              <w:rPr>
                <w:rFonts w:ascii="Times New Roman" w:hAnsi="Times New Roman" w:cs="Times New Roman"/>
                <w:sz w:val="20"/>
                <w:szCs w:val="20"/>
              </w:rPr>
              <w:t>1</w:t>
            </w:r>
          </w:p>
        </w:tc>
        <w:tc>
          <w:tcPr>
            <w:tcW w:w="1980" w:type="dxa"/>
          </w:tcPr>
          <w:p w14:paraId="04D96D11" w14:textId="77777777" w:rsidR="0082400D" w:rsidRPr="00C61DAE" w:rsidRDefault="0082400D" w:rsidP="00AC0518">
            <w:pPr>
              <w:jc w:val="both"/>
              <w:rPr>
                <w:rFonts w:ascii="Times New Roman" w:hAnsi="Times New Roman" w:cs="Times New Roman"/>
                <w:sz w:val="20"/>
                <w:szCs w:val="20"/>
              </w:rPr>
            </w:pPr>
            <w:r w:rsidRPr="00C61DAE">
              <w:rPr>
                <w:rFonts w:ascii="Times New Roman" w:hAnsi="Times New Roman" w:cs="Times New Roman"/>
                <w:sz w:val="20"/>
                <w:szCs w:val="20"/>
              </w:rPr>
              <w:t>ROCC</w:t>
            </w:r>
          </w:p>
        </w:tc>
        <w:tc>
          <w:tcPr>
            <w:tcW w:w="2444" w:type="dxa"/>
          </w:tcPr>
          <w:p w14:paraId="2439D714" w14:textId="77777777" w:rsidR="0082400D" w:rsidRPr="00C61DAE" w:rsidRDefault="0082400D" w:rsidP="00AC0518">
            <w:pPr>
              <w:jc w:val="both"/>
              <w:rPr>
                <w:rFonts w:ascii="Times New Roman" w:hAnsi="Times New Roman" w:cs="Times New Roman"/>
                <w:sz w:val="20"/>
                <w:szCs w:val="20"/>
              </w:rPr>
            </w:pPr>
            <w:r w:rsidRPr="00C61DAE">
              <w:rPr>
                <w:rFonts w:ascii="Times New Roman" w:hAnsi="Times New Roman" w:cs="Times New Roman"/>
                <w:sz w:val="20"/>
                <w:szCs w:val="20"/>
              </w:rPr>
              <w:t>Rs. 6190+taxes</w:t>
            </w:r>
          </w:p>
        </w:tc>
        <w:tc>
          <w:tcPr>
            <w:tcW w:w="2451" w:type="dxa"/>
          </w:tcPr>
          <w:p w14:paraId="59FCF30E" w14:textId="77777777" w:rsidR="0082400D" w:rsidRPr="00C61DAE" w:rsidRDefault="0082400D" w:rsidP="00AC0518">
            <w:pPr>
              <w:rPr>
                <w:rFonts w:ascii="Times New Roman" w:hAnsi="Times New Roman" w:cs="Times New Roman"/>
                <w:sz w:val="20"/>
                <w:szCs w:val="20"/>
              </w:rPr>
            </w:pPr>
            <w:r w:rsidRPr="00C61DAE">
              <w:rPr>
                <w:rFonts w:ascii="Times New Roman" w:hAnsi="Times New Roman" w:cs="Times New Roman"/>
                <w:sz w:val="20"/>
                <w:szCs w:val="20"/>
              </w:rPr>
              <w:t>Per outlet per quarter</w:t>
            </w:r>
          </w:p>
        </w:tc>
      </w:tr>
      <w:tr w:rsidR="0082400D" w:rsidRPr="00C61DAE" w14:paraId="16C42C98" w14:textId="77777777" w:rsidTr="00AC0518">
        <w:trPr>
          <w:trHeight w:val="428"/>
        </w:trPr>
        <w:tc>
          <w:tcPr>
            <w:tcW w:w="985" w:type="dxa"/>
          </w:tcPr>
          <w:p w14:paraId="5CF35A9A" w14:textId="77777777" w:rsidR="0082400D" w:rsidRPr="00C61DAE" w:rsidRDefault="0082400D" w:rsidP="00AC0518">
            <w:pPr>
              <w:jc w:val="both"/>
              <w:rPr>
                <w:rFonts w:ascii="Times New Roman" w:hAnsi="Times New Roman" w:cs="Times New Roman"/>
                <w:sz w:val="20"/>
                <w:szCs w:val="20"/>
              </w:rPr>
            </w:pPr>
            <w:r w:rsidRPr="00C61DAE">
              <w:rPr>
                <w:rFonts w:ascii="Times New Roman" w:hAnsi="Times New Roman" w:cs="Times New Roman"/>
                <w:sz w:val="20"/>
                <w:szCs w:val="20"/>
              </w:rPr>
              <w:t>2</w:t>
            </w:r>
          </w:p>
        </w:tc>
        <w:tc>
          <w:tcPr>
            <w:tcW w:w="1980" w:type="dxa"/>
          </w:tcPr>
          <w:p w14:paraId="7EE7B549" w14:textId="77777777" w:rsidR="0082400D" w:rsidRPr="00C61DAE" w:rsidRDefault="0082400D" w:rsidP="00AC0518">
            <w:pPr>
              <w:jc w:val="both"/>
              <w:rPr>
                <w:rFonts w:ascii="Times New Roman" w:hAnsi="Times New Roman" w:cs="Times New Roman"/>
                <w:sz w:val="20"/>
                <w:szCs w:val="20"/>
              </w:rPr>
            </w:pPr>
            <w:r w:rsidRPr="00C61DAE">
              <w:rPr>
                <w:rFonts w:ascii="Times New Roman" w:hAnsi="Times New Roman" w:cs="Times New Roman"/>
                <w:sz w:val="20"/>
                <w:szCs w:val="20"/>
              </w:rPr>
              <w:t>LMS</w:t>
            </w:r>
          </w:p>
        </w:tc>
        <w:tc>
          <w:tcPr>
            <w:tcW w:w="2444" w:type="dxa"/>
          </w:tcPr>
          <w:p w14:paraId="1A22AE94" w14:textId="77777777" w:rsidR="0082400D" w:rsidRPr="00C61DAE" w:rsidRDefault="0082400D" w:rsidP="00AC0518">
            <w:pPr>
              <w:jc w:val="both"/>
              <w:rPr>
                <w:rFonts w:ascii="Times New Roman" w:hAnsi="Times New Roman" w:cs="Times New Roman"/>
                <w:sz w:val="20"/>
                <w:szCs w:val="20"/>
              </w:rPr>
            </w:pPr>
            <w:r w:rsidRPr="00C61DAE">
              <w:rPr>
                <w:rFonts w:ascii="Times New Roman" w:hAnsi="Times New Roman" w:cs="Times New Roman"/>
                <w:sz w:val="20"/>
                <w:szCs w:val="20"/>
              </w:rPr>
              <w:t>$ 300 +taxes</w:t>
            </w:r>
          </w:p>
        </w:tc>
        <w:tc>
          <w:tcPr>
            <w:tcW w:w="2451" w:type="dxa"/>
          </w:tcPr>
          <w:p w14:paraId="3F901D63" w14:textId="77777777" w:rsidR="0082400D" w:rsidRPr="00C61DAE" w:rsidRDefault="0082400D" w:rsidP="00AC0518">
            <w:pPr>
              <w:rPr>
                <w:rFonts w:ascii="Times New Roman" w:hAnsi="Times New Roman" w:cs="Times New Roman"/>
                <w:sz w:val="20"/>
                <w:szCs w:val="20"/>
              </w:rPr>
            </w:pPr>
            <w:r w:rsidRPr="00C61DAE">
              <w:rPr>
                <w:rFonts w:ascii="Times New Roman" w:hAnsi="Times New Roman" w:cs="Times New Roman"/>
                <w:sz w:val="20"/>
                <w:szCs w:val="20"/>
              </w:rPr>
              <w:t>Per outlet per year</w:t>
            </w:r>
          </w:p>
        </w:tc>
      </w:tr>
      <w:tr w:rsidR="0082400D" w:rsidRPr="00C61DAE" w14:paraId="38300DE6" w14:textId="77777777" w:rsidTr="00AC0518">
        <w:trPr>
          <w:trHeight w:val="428"/>
        </w:trPr>
        <w:tc>
          <w:tcPr>
            <w:tcW w:w="985" w:type="dxa"/>
          </w:tcPr>
          <w:p w14:paraId="7EEF7D96" w14:textId="77777777" w:rsidR="0082400D" w:rsidRPr="00C61DAE" w:rsidRDefault="0082400D" w:rsidP="00AC0518">
            <w:pPr>
              <w:jc w:val="both"/>
              <w:rPr>
                <w:rFonts w:ascii="Times New Roman" w:hAnsi="Times New Roman" w:cs="Times New Roman"/>
                <w:sz w:val="20"/>
                <w:szCs w:val="20"/>
              </w:rPr>
            </w:pPr>
            <w:r w:rsidRPr="00C61DAE">
              <w:rPr>
                <w:rFonts w:ascii="Times New Roman" w:hAnsi="Times New Roman" w:cs="Times New Roman"/>
                <w:sz w:val="20"/>
                <w:szCs w:val="20"/>
              </w:rPr>
              <w:t>3</w:t>
            </w:r>
          </w:p>
        </w:tc>
        <w:tc>
          <w:tcPr>
            <w:tcW w:w="1980" w:type="dxa"/>
          </w:tcPr>
          <w:p w14:paraId="44B1D070" w14:textId="77777777" w:rsidR="0082400D" w:rsidRPr="00C61DAE" w:rsidRDefault="0082400D" w:rsidP="00AC0518">
            <w:pPr>
              <w:jc w:val="both"/>
              <w:rPr>
                <w:rFonts w:ascii="Times New Roman" w:hAnsi="Times New Roman" w:cs="Times New Roman"/>
                <w:sz w:val="20"/>
                <w:szCs w:val="20"/>
              </w:rPr>
            </w:pPr>
            <w:r w:rsidRPr="00C61DAE">
              <w:rPr>
                <w:rFonts w:ascii="Times New Roman" w:hAnsi="Times New Roman" w:cs="Times New Roman"/>
                <w:sz w:val="20"/>
                <w:szCs w:val="20"/>
              </w:rPr>
              <w:t>SCM Fee</w:t>
            </w:r>
          </w:p>
        </w:tc>
        <w:tc>
          <w:tcPr>
            <w:tcW w:w="2444" w:type="dxa"/>
          </w:tcPr>
          <w:p w14:paraId="749636B8" w14:textId="77777777" w:rsidR="0082400D" w:rsidRPr="00C61DAE" w:rsidRDefault="0082400D" w:rsidP="00AC0518">
            <w:pPr>
              <w:rPr>
                <w:rFonts w:ascii="Times New Roman" w:hAnsi="Times New Roman" w:cs="Times New Roman"/>
                <w:sz w:val="20"/>
                <w:szCs w:val="20"/>
              </w:rPr>
            </w:pPr>
            <w:r w:rsidRPr="00C61DAE">
              <w:rPr>
                <w:rFonts w:ascii="Times New Roman" w:hAnsi="Times New Roman" w:cs="Times New Roman"/>
                <w:sz w:val="20"/>
                <w:szCs w:val="20"/>
              </w:rPr>
              <w:t xml:space="preserve">0.55% (of sales) (inclusive of taxes) </w:t>
            </w:r>
          </w:p>
        </w:tc>
        <w:tc>
          <w:tcPr>
            <w:tcW w:w="2451" w:type="dxa"/>
          </w:tcPr>
          <w:p w14:paraId="41BE2F79" w14:textId="77777777" w:rsidR="0082400D" w:rsidRPr="00C61DAE" w:rsidRDefault="0082400D" w:rsidP="00AC0518">
            <w:pPr>
              <w:rPr>
                <w:rFonts w:ascii="Times New Roman" w:hAnsi="Times New Roman" w:cs="Times New Roman"/>
                <w:sz w:val="20"/>
                <w:szCs w:val="20"/>
              </w:rPr>
            </w:pPr>
            <w:r w:rsidRPr="00C61DAE">
              <w:rPr>
                <w:rFonts w:ascii="Times New Roman" w:hAnsi="Times New Roman" w:cs="Times New Roman"/>
                <w:sz w:val="20"/>
                <w:szCs w:val="20"/>
              </w:rPr>
              <w:t>Per outlet per month</w:t>
            </w:r>
          </w:p>
        </w:tc>
      </w:tr>
    </w:tbl>
    <w:p w14:paraId="2691FB56" w14:textId="77777777" w:rsidR="0082400D" w:rsidRPr="00C61DAE" w:rsidRDefault="0082400D" w:rsidP="0082400D">
      <w:pPr>
        <w:jc w:val="both"/>
        <w:rPr>
          <w:rFonts w:ascii="Times New Roman" w:hAnsi="Times New Roman" w:cs="Times New Roman"/>
          <w:sz w:val="20"/>
        </w:rPr>
      </w:pPr>
    </w:p>
    <w:p w14:paraId="4963D05C" w14:textId="77777777" w:rsidR="0082400D" w:rsidRPr="00C61DAE" w:rsidRDefault="0082400D" w:rsidP="0082400D">
      <w:pPr>
        <w:jc w:val="both"/>
        <w:rPr>
          <w:rFonts w:ascii="Times New Roman" w:hAnsi="Times New Roman" w:cs="Times New Roman"/>
          <w:sz w:val="20"/>
        </w:rPr>
      </w:pPr>
    </w:p>
    <w:p w14:paraId="153D2327" w14:textId="77777777" w:rsidR="0082400D" w:rsidRPr="00C61DAE" w:rsidRDefault="0082400D" w:rsidP="0082400D">
      <w:pPr>
        <w:jc w:val="both"/>
        <w:rPr>
          <w:rFonts w:ascii="Times New Roman" w:hAnsi="Times New Roman" w:cs="Times New Roman"/>
          <w:sz w:val="20"/>
        </w:rPr>
      </w:pPr>
    </w:p>
    <w:p w14:paraId="657A5ED1" w14:textId="77777777" w:rsidR="0082400D" w:rsidRPr="00C61DAE" w:rsidRDefault="0082400D" w:rsidP="0082400D">
      <w:pPr>
        <w:jc w:val="both"/>
        <w:rPr>
          <w:rFonts w:ascii="Times New Roman" w:hAnsi="Times New Roman" w:cs="Times New Roman"/>
          <w:sz w:val="20"/>
        </w:rPr>
      </w:pPr>
    </w:p>
    <w:p w14:paraId="229454FD" w14:textId="77777777" w:rsidR="0082400D" w:rsidRPr="00C61DAE" w:rsidRDefault="0082400D" w:rsidP="0082400D">
      <w:pPr>
        <w:jc w:val="both"/>
        <w:rPr>
          <w:rFonts w:ascii="Times New Roman" w:hAnsi="Times New Roman" w:cs="Times New Roman"/>
          <w:sz w:val="20"/>
        </w:rPr>
      </w:pPr>
    </w:p>
    <w:p w14:paraId="2F8D3851" w14:textId="77777777" w:rsidR="0082400D" w:rsidRPr="00C61DAE" w:rsidRDefault="0082400D" w:rsidP="0082400D">
      <w:pPr>
        <w:jc w:val="both"/>
        <w:rPr>
          <w:rFonts w:ascii="Times New Roman" w:hAnsi="Times New Roman" w:cs="Times New Roman"/>
          <w:sz w:val="20"/>
        </w:rPr>
      </w:pPr>
    </w:p>
    <w:p w14:paraId="4C26BA3F" w14:textId="77777777" w:rsidR="00C61DAE" w:rsidRPr="00C61DAE" w:rsidRDefault="00C61DAE" w:rsidP="00363031">
      <w:pPr>
        <w:spacing w:after="120" w:line="240" w:lineRule="auto"/>
        <w:jc w:val="both"/>
        <w:rPr>
          <w:rFonts w:ascii="Times New Roman" w:hAnsi="Times New Roman" w:cs="Times New Roman"/>
          <w:sz w:val="20"/>
        </w:rPr>
      </w:pPr>
    </w:p>
    <w:p w14:paraId="4D1CD46F" w14:textId="3F7D7CBA" w:rsidR="0082400D" w:rsidRPr="00C61DAE" w:rsidRDefault="0082400D" w:rsidP="00363031">
      <w:pPr>
        <w:spacing w:after="0" w:line="240" w:lineRule="auto"/>
        <w:jc w:val="both"/>
        <w:rPr>
          <w:rFonts w:ascii="Times New Roman" w:hAnsi="Times New Roman" w:cs="Times New Roman"/>
          <w:sz w:val="20"/>
        </w:rPr>
      </w:pPr>
      <w:r w:rsidRPr="00C61DAE">
        <w:rPr>
          <w:rFonts w:ascii="Times New Roman" w:hAnsi="Times New Roman" w:cs="Times New Roman"/>
          <w:sz w:val="20"/>
        </w:rPr>
        <w:lastRenderedPageBreak/>
        <w:t xml:space="preserve">In case there is any upward revision in the rate of tax or levy of new tax, these amounts shall be revised accordingly. </w:t>
      </w:r>
    </w:p>
    <w:p w14:paraId="1668B339" w14:textId="77777777" w:rsidR="00363031" w:rsidRDefault="00363031" w:rsidP="00363031">
      <w:pPr>
        <w:spacing w:after="0" w:line="240" w:lineRule="auto"/>
        <w:jc w:val="both"/>
        <w:rPr>
          <w:rFonts w:ascii="Times New Roman" w:hAnsi="Times New Roman" w:cs="Times New Roman"/>
          <w:sz w:val="20"/>
        </w:rPr>
      </w:pPr>
    </w:p>
    <w:p w14:paraId="56F86A2D" w14:textId="2C42B6B9" w:rsidR="0082400D" w:rsidRPr="00C61DAE" w:rsidRDefault="0082400D" w:rsidP="00363031">
      <w:pPr>
        <w:spacing w:after="0" w:line="240" w:lineRule="auto"/>
        <w:jc w:val="both"/>
        <w:rPr>
          <w:rFonts w:ascii="Times New Roman" w:hAnsi="Times New Roman" w:cs="Times New Roman"/>
          <w:sz w:val="20"/>
        </w:rPr>
      </w:pPr>
      <w:r w:rsidRPr="00C61DAE">
        <w:rPr>
          <w:rFonts w:ascii="Times New Roman" w:hAnsi="Times New Roman" w:cs="Times New Roman"/>
          <w:sz w:val="20"/>
        </w:rPr>
        <w:t xml:space="preserve">The aforesaid cost of Services set out in Table – A above, shall be payable to Yum against separate invoices raised by Yum for each Service. For the purposes of raising the invoice for the US dollar (USD) billing, Yum shall take into account, the current exchange rate as applicable as on the date of the invoice and GHL will make the payment to Yum accordingly. </w:t>
      </w:r>
    </w:p>
    <w:p w14:paraId="55795F1D" w14:textId="77777777" w:rsidR="00363031" w:rsidRDefault="00363031" w:rsidP="00363031">
      <w:pPr>
        <w:spacing w:after="0" w:line="240" w:lineRule="auto"/>
        <w:jc w:val="both"/>
        <w:rPr>
          <w:rFonts w:ascii="Times New Roman" w:hAnsi="Times New Roman" w:cs="Times New Roman"/>
          <w:sz w:val="20"/>
        </w:rPr>
      </w:pPr>
    </w:p>
    <w:p w14:paraId="216DF9D3" w14:textId="5F3D808C" w:rsidR="0082400D" w:rsidRPr="00C61DAE" w:rsidRDefault="0082400D" w:rsidP="00363031">
      <w:pPr>
        <w:spacing w:after="0" w:line="240" w:lineRule="auto"/>
        <w:jc w:val="both"/>
        <w:rPr>
          <w:rFonts w:ascii="Times New Roman" w:hAnsi="Times New Roman" w:cs="Times New Roman"/>
          <w:sz w:val="20"/>
        </w:rPr>
      </w:pPr>
      <w:r w:rsidRPr="00C61DAE">
        <w:rPr>
          <w:rFonts w:ascii="Times New Roman" w:hAnsi="Times New Roman" w:cs="Times New Roman"/>
          <w:sz w:val="20"/>
        </w:rPr>
        <w:t xml:space="preserve">The invoices will be raised quarterly/yearly/monthly and as per details for each Service as set out above in Table – A under the column “Details”, and payments shall be made by GHL to Yum, within seven (7) days of receipt of the invoice and in case GHL fails to pay the said amounts within time stipulated herein, GHL shall be liable to pay interest at the rate as set out under the Technology License Concession Contracts executed between the parties hereto. </w:t>
      </w:r>
    </w:p>
    <w:p w14:paraId="073033BD" w14:textId="77777777" w:rsidR="00363031" w:rsidRDefault="00363031" w:rsidP="00363031">
      <w:pPr>
        <w:spacing w:after="0" w:line="240" w:lineRule="auto"/>
        <w:jc w:val="both"/>
        <w:rPr>
          <w:rFonts w:ascii="Times New Roman" w:hAnsi="Times New Roman" w:cs="Times New Roman"/>
          <w:sz w:val="20"/>
        </w:rPr>
      </w:pPr>
    </w:p>
    <w:p w14:paraId="475F5952" w14:textId="290A3216" w:rsidR="0082400D" w:rsidRPr="00C61DAE" w:rsidRDefault="0082400D" w:rsidP="00363031">
      <w:pPr>
        <w:spacing w:after="0" w:line="240" w:lineRule="auto"/>
        <w:jc w:val="both"/>
        <w:rPr>
          <w:rFonts w:ascii="Times New Roman" w:hAnsi="Times New Roman" w:cs="Times New Roman"/>
          <w:sz w:val="20"/>
        </w:rPr>
      </w:pPr>
      <w:r w:rsidRPr="00C61DAE">
        <w:rPr>
          <w:rFonts w:ascii="Times New Roman" w:hAnsi="Times New Roman" w:cs="Times New Roman"/>
          <w:sz w:val="20"/>
        </w:rPr>
        <w:t>The parties hereto agree that the Services as described aforesaid will continue for all the operational KFC outlets till such time GHL makes no default on the payment obligations. Further, all the above-mentioned cost of Services shall be reviewed on a yearly basis.</w:t>
      </w:r>
    </w:p>
    <w:p w14:paraId="0B6E7EFC" w14:textId="77777777" w:rsidR="00363031" w:rsidRDefault="00363031" w:rsidP="00363031">
      <w:pPr>
        <w:spacing w:after="0" w:line="240" w:lineRule="auto"/>
        <w:jc w:val="both"/>
        <w:rPr>
          <w:rFonts w:ascii="Times New Roman" w:hAnsi="Times New Roman" w:cs="Times New Roman"/>
          <w:sz w:val="20"/>
        </w:rPr>
      </w:pPr>
    </w:p>
    <w:p w14:paraId="058E98B4" w14:textId="14974CEB" w:rsidR="0082400D" w:rsidRPr="00C61DAE" w:rsidRDefault="0082400D" w:rsidP="00363031">
      <w:pPr>
        <w:spacing w:after="0" w:line="240" w:lineRule="auto"/>
        <w:jc w:val="both"/>
        <w:rPr>
          <w:rFonts w:ascii="Times New Roman" w:hAnsi="Times New Roman" w:cs="Times New Roman"/>
          <w:sz w:val="20"/>
        </w:rPr>
      </w:pPr>
      <w:r w:rsidRPr="00C61DAE">
        <w:rPr>
          <w:rFonts w:ascii="Times New Roman" w:hAnsi="Times New Roman" w:cs="Times New Roman"/>
          <w:sz w:val="20"/>
        </w:rPr>
        <w:t xml:space="preserve">This letter supersedes any other letter/ communication in place with regards to the above subjected matter. </w:t>
      </w:r>
    </w:p>
    <w:p w14:paraId="193F0120" w14:textId="77777777" w:rsidR="00C61DAE" w:rsidRPr="00C61DAE" w:rsidRDefault="00C61DAE" w:rsidP="00363031">
      <w:pPr>
        <w:spacing w:after="0" w:line="240" w:lineRule="auto"/>
        <w:jc w:val="both"/>
        <w:rPr>
          <w:rFonts w:ascii="Times New Roman" w:hAnsi="Times New Roman" w:cs="Times New Roman"/>
          <w:sz w:val="20"/>
        </w:rPr>
      </w:pPr>
      <w:r w:rsidRPr="00C61DAE">
        <w:rPr>
          <w:rFonts w:ascii="Times New Roman" w:hAnsi="Times New Roman" w:cs="Times New Roman"/>
          <w:sz w:val="20"/>
        </w:rPr>
        <w:t xml:space="preserve">Please sign a copy of this letter in acknowledgement of your acceptance of the above.  </w:t>
      </w:r>
    </w:p>
    <w:p w14:paraId="3C19F4D2" w14:textId="77777777" w:rsidR="0082400D" w:rsidRPr="00C61DAE" w:rsidRDefault="0082400D" w:rsidP="0082400D">
      <w:pPr>
        <w:rPr>
          <w:rFonts w:ascii="Times New Roman" w:hAnsi="Times New Roman" w:cs="Times New Roman"/>
          <w:sz w:val="20"/>
        </w:rPr>
      </w:pPr>
      <w:r w:rsidRPr="00C61DAE">
        <w:rPr>
          <w:rFonts w:ascii="Times New Roman" w:hAnsi="Times New Roman" w:cs="Times New Roman"/>
          <w:sz w:val="20"/>
        </w:rPr>
        <w:t>Yours faithfully,</w:t>
      </w:r>
    </w:p>
    <w:p w14:paraId="4AD1F23B" w14:textId="77777777" w:rsidR="0082400D" w:rsidRPr="00C61DAE" w:rsidRDefault="0082400D" w:rsidP="0082400D">
      <w:pPr>
        <w:rPr>
          <w:rFonts w:ascii="Times New Roman" w:hAnsi="Times New Roman" w:cs="Times New Roman"/>
          <w:sz w:val="20"/>
        </w:rPr>
      </w:pPr>
    </w:p>
    <w:p w14:paraId="7346A862" w14:textId="77777777" w:rsidR="0082400D" w:rsidRPr="00C61DAE" w:rsidRDefault="0082400D" w:rsidP="0082400D">
      <w:pPr>
        <w:rPr>
          <w:rFonts w:ascii="Times New Roman" w:hAnsi="Times New Roman" w:cs="Times New Roman"/>
          <w:sz w:val="20"/>
        </w:rPr>
      </w:pPr>
      <w:r w:rsidRPr="00C61DAE">
        <w:rPr>
          <w:rFonts w:ascii="Times New Roman" w:hAnsi="Times New Roman" w:cs="Times New Roman"/>
          <w:sz w:val="20"/>
        </w:rPr>
        <w:t xml:space="preserve">For and on behalf of </w:t>
      </w:r>
      <w:r w:rsidRPr="00C61DAE">
        <w:rPr>
          <w:rFonts w:ascii="Times New Roman" w:hAnsi="Times New Roman" w:cs="Times New Roman"/>
          <w:sz w:val="20"/>
        </w:rPr>
        <w:br/>
        <w:t>Yum Restaurants (India) Private Limited</w:t>
      </w:r>
      <w:r w:rsidRPr="00C61DAE">
        <w:rPr>
          <w:rFonts w:ascii="Times New Roman" w:hAnsi="Times New Roman" w:cs="Times New Roman"/>
          <w:sz w:val="20"/>
        </w:rPr>
        <w:tab/>
      </w:r>
    </w:p>
    <w:p w14:paraId="78B6A777" w14:textId="77777777" w:rsidR="0082400D" w:rsidRPr="00C61DAE" w:rsidRDefault="0082400D" w:rsidP="0082400D">
      <w:pPr>
        <w:rPr>
          <w:rFonts w:ascii="Times New Roman" w:hAnsi="Times New Roman" w:cs="Times New Roman"/>
          <w:sz w:val="20"/>
        </w:rPr>
      </w:pPr>
    </w:p>
    <w:p w14:paraId="124387C7" w14:textId="77777777" w:rsidR="0082400D" w:rsidRPr="00C61DAE" w:rsidRDefault="0082400D" w:rsidP="0082400D">
      <w:pPr>
        <w:rPr>
          <w:rFonts w:ascii="Times New Roman" w:hAnsi="Times New Roman" w:cs="Times New Roman"/>
          <w:sz w:val="20"/>
        </w:rPr>
      </w:pPr>
    </w:p>
    <w:p w14:paraId="43BCA766" w14:textId="77777777" w:rsidR="0082400D" w:rsidRPr="00C61DAE" w:rsidRDefault="0082400D" w:rsidP="0082400D">
      <w:pPr>
        <w:spacing w:after="0" w:line="240" w:lineRule="auto"/>
        <w:rPr>
          <w:rFonts w:ascii="Times New Roman" w:hAnsi="Times New Roman" w:cs="Times New Roman"/>
          <w:sz w:val="20"/>
        </w:rPr>
      </w:pPr>
      <w:r w:rsidRPr="00C61DAE">
        <w:rPr>
          <w:rFonts w:ascii="Times New Roman" w:hAnsi="Times New Roman" w:cs="Times New Roman"/>
          <w:sz w:val="20"/>
        </w:rPr>
        <w:t>____________________________</w:t>
      </w:r>
      <w:r w:rsidRPr="00C61DAE">
        <w:rPr>
          <w:rFonts w:ascii="Times New Roman" w:hAnsi="Times New Roman" w:cs="Times New Roman"/>
          <w:sz w:val="20"/>
        </w:rPr>
        <w:br/>
        <w:t>Aman Lal</w:t>
      </w:r>
    </w:p>
    <w:p w14:paraId="376EC02F" w14:textId="77777777" w:rsidR="0082400D" w:rsidRPr="00C61DAE" w:rsidRDefault="0082400D" w:rsidP="0082400D">
      <w:pPr>
        <w:spacing w:after="0" w:line="240" w:lineRule="auto"/>
        <w:rPr>
          <w:rFonts w:ascii="Times New Roman" w:hAnsi="Times New Roman" w:cs="Times New Roman"/>
          <w:sz w:val="20"/>
        </w:rPr>
      </w:pPr>
      <w:r w:rsidRPr="00C61DAE">
        <w:rPr>
          <w:rFonts w:ascii="Times New Roman" w:hAnsi="Times New Roman" w:cs="Times New Roman"/>
          <w:sz w:val="20"/>
        </w:rPr>
        <w:t>Chief People &amp; Culture Officer - KFC</w:t>
      </w:r>
    </w:p>
    <w:p w14:paraId="6C5B94AE" w14:textId="77777777" w:rsidR="0082400D" w:rsidRPr="00C61DAE" w:rsidRDefault="0082400D" w:rsidP="0082400D">
      <w:pPr>
        <w:jc w:val="both"/>
        <w:rPr>
          <w:rFonts w:ascii="Times New Roman" w:hAnsi="Times New Roman" w:cs="Times New Roman"/>
          <w:sz w:val="20"/>
        </w:rPr>
      </w:pPr>
    </w:p>
    <w:p w14:paraId="547887CE" w14:textId="77777777" w:rsidR="00C61DAE" w:rsidRPr="00C61DAE" w:rsidRDefault="00C61DAE" w:rsidP="0082400D">
      <w:pPr>
        <w:jc w:val="both"/>
        <w:rPr>
          <w:rFonts w:ascii="Times New Roman" w:hAnsi="Times New Roman" w:cs="Times New Roman"/>
          <w:b/>
          <w:bCs/>
          <w:sz w:val="20"/>
        </w:rPr>
      </w:pPr>
    </w:p>
    <w:p w14:paraId="1063D3F8" w14:textId="316D984D" w:rsidR="0082400D" w:rsidRPr="00C61DAE" w:rsidRDefault="0082400D" w:rsidP="0082400D">
      <w:pPr>
        <w:jc w:val="both"/>
        <w:rPr>
          <w:rFonts w:ascii="Times New Roman" w:hAnsi="Times New Roman" w:cs="Times New Roman"/>
          <w:b/>
          <w:bCs/>
          <w:sz w:val="20"/>
        </w:rPr>
      </w:pPr>
      <w:r w:rsidRPr="00C61DAE">
        <w:rPr>
          <w:rFonts w:ascii="Times New Roman" w:hAnsi="Times New Roman" w:cs="Times New Roman"/>
          <w:b/>
          <w:bCs/>
          <w:sz w:val="20"/>
        </w:rPr>
        <w:t>Terms agreed and consented to by:</w:t>
      </w:r>
    </w:p>
    <w:p w14:paraId="60C79534" w14:textId="77777777" w:rsidR="0082400D" w:rsidRPr="00C61DAE" w:rsidRDefault="0082400D" w:rsidP="0082400D">
      <w:pPr>
        <w:spacing w:line="240" w:lineRule="auto"/>
        <w:rPr>
          <w:rFonts w:ascii="Times New Roman" w:hAnsi="Times New Roman" w:cs="Times New Roman"/>
          <w:sz w:val="20"/>
        </w:rPr>
      </w:pPr>
      <w:r w:rsidRPr="00C61DAE">
        <w:rPr>
          <w:rFonts w:ascii="Times New Roman" w:hAnsi="Times New Roman" w:cs="Times New Roman"/>
          <w:sz w:val="20"/>
        </w:rPr>
        <w:t>For and on behalf of</w:t>
      </w:r>
      <w:r w:rsidRPr="00C61DAE">
        <w:rPr>
          <w:rFonts w:ascii="Times New Roman" w:hAnsi="Times New Roman" w:cs="Times New Roman"/>
          <w:sz w:val="20"/>
        </w:rPr>
        <w:br/>
        <w:t xml:space="preserve">GMR Hospitality Limited. </w:t>
      </w:r>
    </w:p>
    <w:p w14:paraId="12286F78" w14:textId="77777777" w:rsidR="0082400D" w:rsidRPr="00C61DAE" w:rsidRDefault="0082400D" w:rsidP="0082400D">
      <w:pPr>
        <w:jc w:val="both"/>
        <w:rPr>
          <w:rFonts w:ascii="Times New Roman" w:hAnsi="Times New Roman" w:cs="Times New Roman"/>
          <w:sz w:val="20"/>
        </w:rPr>
      </w:pPr>
    </w:p>
    <w:p w14:paraId="34490BD0" w14:textId="77777777" w:rsidR="0082400D" w:rsidRPr="00C61DAE" w:rsidRDefault="0082400D" w:rsidP="0082400D">
      <w:pPr>
        <w:jc w:val="both"/>
        <w:rPr>
          <w:rFonts w:ascii="Times New Roman" w:hAnsi="Times New Roman" w:cs="Times New Roman"/>
          <w:sz w:val="20"/>
        </w:rPr>
      </w:pPr>
    </w:p>
    <w:p w14:paraId="7156ED65" w14:textId="77777777" w:rsidR="0082400D" w:rsidRPr="00C61DAE" w:rsidRDefault="0082400D" w:rsidP="0082400D">
      <w:pPr>
        <w:tabs>
          <w:tab w:val="left" w:pos="540"/>
        </w:tabs>
        <w:spacing w:after="0" w:line="240" w:lineRule="auto"/>
        <w:jc w:val="thaiDistribute"/>
        <w:rPr>
          <w:rFonts w:ascii="Times New Roman" w:hAnsi="Times New Roman" w:cs="Times New Roman"/>
          <w:sz w:val="20"/>
        </w:rPr>
      </w:pPr>
      <w:r w:rsidRPr="00C61DAE">
        <w:rPr>
          <w:rFonts w:ascii="Times New Roman" w:hAnsi="Times New Roman" w:cs="Times New Roman"/>
          <w:sz w:val="20"/>
        </w:rPr>
        <w:t>_______________________</w:t>
      </w:r>
    </w:p>
    <w:p w14:paraId="2EDE3CCB" w14:textId="77777777" w:rsidR="0082400D" w:rsidRPr="00C61DAE" w:rsidRDefault="0082400D" w:rsidP="0082400D">
      <w:pPr>
        <w:tabs>
          <w:tab w:val="left" w:pos="540"/>
        </w:tabs>
        <w:spacing w:after="0" w:line="240" w:lineRule="auto"/>
        <w:jc w:val="thaiDistribute"/>
        <w:rPr>
          <w:rFonts w:ascii="Times New Roman" w:hAnsi="Times New Roman" w:cs="Times New Roman"/>
          <w:sz w:val="20"/>
        </w:rPr>
      </w:pPr>
      <w:r w:rsidRPr="00C61DAE">
        <w:rPr>
          <w:rFonts w:ascii="Times New Roman" w:hAnsi="Times New Roman" w:cs="Times New Roman"/>
          <w:sz w:val="20"/>
        </w:rPr>
        <w:t>Gaurav Dewan</w:t>
      </w:r>
      <w:r w:rsidRPr="00C61DAE">
        <w:rPr>
          <w:rFonts w:ascii="Times New Roman" w:hAnsi="Times New Roman" w:cs="Times New Roman"/>
          <w:sz w:val="20"/>
        </w:rPr>
        <w:tab/>
      </w:r>
      <w:r w:rsidRPr="00C61DAE">
        <w:rPr>
          <w:rFonts w:ascii="Times New Roman" w:hAnsi="Times New Roman" w:cs="Times New Roman"/>
          <w:sz w:val="20"/>
        </w:rPr>
        <w:tab/>
      </w:r>
      <w:r w:rsidRPr="00C61DAE">
        <w:rPr>
          <w:rFonts w:ascii="Times New Roman" w:hAnsi="Times New Roman" w:cs="Times New Roman"/>
          <w:sz w:val="20"/>
        </w:rPr>
        <w:tab/>
      </w:r>
      <w:r w:rsidRPr="00C61DAE">
        <w:rPr>
          <w:rFonts w:ascii="Times New Roman" w:hAnsi="Times New Roman" w:cs="Times New Roman"/>
          <w:sz w:val="20"/>
        </w:rPr>
        <w:tab/>
      </w:r>
      <w:r w:rsidRPr="00C61DAE">
        <w:rPr>
          <w:rFonts w:ascii="Times New Roman" w:hAnsi="Times New Roman" w:cs="Times New Roman"/>
          <w:sz w:val="20"/>
        </w:rPr>
        <w:tab/>
      </w:r>
      <w:r w:rsidRPr="00C61DAE">
        <w:rPr>
          <w:rFonts w:ascii="Times New Roman" w:hAnsi="Times New Roman" w:cs="Times New Roman"/>
          <w:sz w:val="20"/>
        </w:rPr>
        <w:tab/>
      </w:r>
      <w:r w:rsidRPr="00C61DAE">
        <w:rPr>
          <w:rFonts w:ascii="Times New Roman" w:hAnsi="Times New Roman" w:cs="Times New Roman"/>
          <w:sz w:val="20"/>
        </w:rPr>
        <w:tab/>
      </w:r>
      <w:r w:rsidRPr="00C61DAE">
        <w:rPr>
          <w:rFonts w:ascii="Times New Roman" w:hAnsi="Times New Roman" w:cs="Times New Roman"/>
          <w:sz w:val="20"/>
        </w:rPr>
        <w:tab/>
      </w:r>
    </w:p>
    <w:p w14:paraId="5A6F7E4D" w14:textId="5E2D6371" w:rsidR="009B1068" w:rsidRPr="00C61DAE" w:rsidRDefault="0082400D" w:rsidP="00C61DAE">
      <w:pPr>
        <w:spacing w:after="0" w:line="240" w:lineRule="auto"/>
        <w:jc w:val="both"/>
        <w:rPr>
          <w:rFonts w:ascii="Times New Roman" w:hAnsi="Times New Roman" w:cs="Times New Roman"/>
          <w:sz w:val="20"/>
        </w:rPr>
      </w:pPr>
      <w:r w:rsidRPr="00C61DAE">
        <w:rPr>
          <w:rFonts w:ascii="Times New Roman" w:hAnsi="Times New Roman" w:cs="Times New Roman"/>
          <w:sz w:val="20"/>
        </w:rPr>
        <w:t>Chief Operating Office</w:t>
      </w:r>
    </w:p>
    <w:sectPr w:rsidR="009B1068" w:rsidRPr="00C61DAE" w:rsidSect="00A74A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9CA7" w14:textId="77777777" w:rsidR="004D37F4" w:rsidRDefault="004D37F4" w:rsidP="009B1068">
      <w:pPr>
        <w:spacing w:after="0" w:line="240" w:lineRule="auto"/>
      </w:pPr>
      <w:r>
        <w:separator/>
      </w:r>
    </w:p>
  </w:endnote>
  <w:endnote w:type="continuationSeparator" w:id="0">
    <w:p w14:paraId="6EC9AB98" w14:textId="77777777" w:rsidR="004D37F4" w:rsidRDefault="004D37F4" w:rsidP="009B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2BCE" w14:textId="77777777" w:rsidR="00965FC5" w:rsidRDefault="00965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165C" w14:textId="451F05A3" w:rsidR="00A74AF1" w:rsidRPr="00965FC5" w:rsidRDefault="00965FC5" w:rsidP="00965FC5">
    <w:pPr>
      <w:pStyle w:val="Footer"/>
      <w:jc w:val="center"/>
      <w:rPr>
        <w:noProof/>
        <w:sz w:val="20"/>
      </w:rPr>
    </w:pPr>
    <w:r w:rsidRPr="00965FC5">
      <w:rPr>
        <w:noProof/>
        <w:sz w:val="20"/>
      </w:rPr>
      <w:fldChar w:fldCharType="begin"/>
    </w:r>
    <w:r w:rsidRPr="00965FC5">
      <w:rPr>
        <w:noProof/>
        <w:sz w:val="20"/>
      </w:rPr>
      <w:instrText xml:space="preserve"> PAGE   \* MERGEFORMAT </w:instrText>
    </w:r>
    <w:r w:rsidRPr="00965FC5">
      <w:rPr>
        <w:noProof/>
        <w:sz w:val="20"/>
      </w:rPr>
      <w:fldChar w:fldCharType="separate"/>
    </w:r>
    <w:r w:rsidRPr="00965FC5">
      <w:rPr>
        <w:noProof/>
        <w:sz w:val="20"/>
      </w:rPr>
      <w:t>1</w:t>
    </w:r>
    <w:r w:rsidRPr="00965FC5">
      <w:rPr>
        <w:noProof/>
        <w:sz w:val="20"/>
      </w:rPr>
      <w:fldChar w:fldCharType="end"/>
    </w:r>
    <w:r w:rsidR="00A74AF1" w:rsidRPr="00965FC5">
      <w:rPr>
        <w:noProof/>
        <w:sz w:val="20"/>
      </w:rPr>
      <w:drawing>
        <wp:anchor distT="0" distB="0" distL="114300" distR="114300" simplePos="0" relativeHeight="251660288" behindDoc="0" locked="0" layoutInCell="1" allowOverlap="1" wp14:anchorId="6064DBFC" wp14:editId="425CB553">
          <wp:simplePos x="0" y="0"/>
          <wp:positionH relativeFrom="margin">
            <wp:align>left</wp:align>
          </wp:positionH>
          <wp:positionV relativeFrom="paragraph">
            <wp:posOffset>228066</wp:posOffset>
          </wp:positionV>
          <wp:extent cx="5603240" cy="1069340"/>
          <wp:effectExtent l="0" t="0" r="0" b="0"/>
          <wp:wrapSquare wrapText="bothSides"/>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603240" cy="1069340"/>
                  </a:xfrm>
                  <a:prstGeom prst="rect">
                    <a:avLst/>
                  </a:prstGeom>
                </pic:spPr>
              </pic:pic>
            </a:graphicData>
          </a:graphic>
          <wp14:sizeRelH relativeFrom="margin">
            <wp14:pctWidth>0</wp14:pctWidth>
          </wp14:sizeRelH>
          <wp14:sizeRelV relativeFrom="margin">
            <wp14:pctHeight>0</wp14:pctHeight>
          </wp14:sizeRelV>
        </wp:anchor>
      </w:drawing>
    </w:r>
  </w:p>
  <w:p w14:paraId="780FA692" w14:textId="4039E99D" w:rsidR="009B1068" w:rsidRDefault="009B1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CAAE" w14:textId="77777777" w:rsidR="00965FC5" w:rsidRDefault="00965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E4B4" w14:textId="77777777" w:rsidR="004D37F4" w:rsidRDefault="004D37F4" w:rsidP="009B1068">
      <w:pPr>
        <w:spacing w:after="0" w:line="240" w:lineRule="auto"/>
      </w:pPr>
      <w:r>
        <w:separator/>
      </w:r>
    </w:p>
  </w:footnote>
  <w:footnote w:type="continuationSeparator" w:id="0">
    <w:p w14:paraId="4E7D7C91" w14:textId="77777777" w:rsidR="004D37F4" w:rsidRDefault="004D37F4" w:rsidP="009B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1AE6" w14:textId="77777777" w:rsidR="00965FC5" w:rsidRDefault="00965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FA66" w14:textId="07E1F61F" w:rsidR="009B1068" w:rsidRDefault="009B1068" w:rsidP="009B1068">
    <w:pPr>
      <w:pStyle w:val="Header"/>
    </w:pPr>
    <w:r>
      <w:rPr>
        <w:noProof/>
      </w:rPr>
      <w:drawing>
        <wp:anchor distT="0" distB="0" distL="114300" distR="114300" simplePos="0" relativeHeight="251658240" behindDoc="0" locked="0" layoutInCell="1" allowOverlap="1" wp14:anchorId="7D483C55" wp14:editId="68E72E23">
          <wp:simplePos x="0" y="0"/>
          <wp:positionH relativeFrom="column">
            <wp:posOffset>-1016787</wp:posOffset>
          </wp:positionH>
          <wp:positionV relativeFrom="paragraph">
            <wp:posOffset>-596214</wp:posOffset>
          </wp:positionV>
          <wp:extent cx="7812405" cy="1492250"/>
          <wp:effectExtent l="0" t="0" r="0" b="0"/>
          <wp:wrapSquare wrapText="bothSides"/>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812405" cy="1492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660C" w14:textId="77777777" w:rsidR="00965FC5" w:rsidRDefault="00965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8"/>
    <w:rsid w:val="000D44DD"/>
    <w:rsid w:val="00107CB1"/>
    <w:rsid w:val="001842CC"/>
    <w:rsid w:val="001A6A61"/>
    <w:rsid w:val="00363031"/>
    <w:rsid w:val="00377FB6"/>
    <w:rsid w:val="004D37F4"/>
    <w:rsid w:val="00550162"/>
    <w:rsid w:val="005C42A6"/>
    <w:rsid w:val="007518DA"/>
    <w:rsid w:val="0082400D"/>
    <w:rsid w:val="009110C3"/>
    <w:rsid w:val="00943B41"/>
    <w:rsid w:val="00965FC5"/>
    <w:rsid w:val="009A36CB"/>
    <w:rsid w:val="009B1068"/>
    <w:rsid w:val="00A74AF1"/>
    <w:rsid w:val="00A83EDE"/>
    <w:rsid w:val="00A83F32"/>
    <w:rsid w:val="00B270C0"/>
    <w:rsid w:val="00B73ECB"/>
    <w:rsid w:val="00BB0C41"/>
    <w:rsid w:val="00C07CF3"/>
    <w:rsid w:val="00C45A54"/>
    <w:rsid w:val="00C61DAE"/>
    <w:rsid w:val="00CB7EEA"/>
    <w:rsid w:val="00ED2668"/>
    <w:rsid w:val="00F9162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553CE"/>
  <w15:chartTrackingRefBased/>
  <w15:docId w15:val="{163281AE-51EE-49B0-875C-A283992F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068"/>
  </w:style>
  <w:style w:type="paragraph" w:styleId="Footer">
    <w:name w:val="footer"/>
    <w:basedOn w:val="Normal"/>
    <w:link w:val="FooterChar"/>
    <w:uiPriority w:val="99"/>
    <w:unhideWhenUsed/>
    <w:rsid w:val="009B1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068"/>
  </w:style>
  <w:style w:type="table" w:styleId="TableGrid">
    <w:name w:val="Table Grid"/>
    <w:basedOn w:val="TableNormal"/>
    <w:uiPriority w:val="59"/>
    <w:rsid w:val="0082400D"/>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82400D"/>
    <w:pPr>
      <w:spacing w:after="0" w:line="240" w:lineRule="auto"/>
      <w:jc w:val="both"/>
    </w:pPr>
    <w:rPr>
      <w:rFonts w:ascii="Arial" w:eastAsia="Times New Roman" w:hAnsi="Arial" w:cs="Times New Roman"/>
      <w:snapToGrid w:val="0"/>
      <w:sz w:val="24"/>
      <w:lang w:val="en-GB" w:bidi="ar-SA"/>
    </w:rPr>
  </w:style>
  <w:style w:type="character" w:styleId="Hyperlink">
    <w:name w:val="Hyperlink"/>
    <w:basedOn w:val="DefaultParagraphFont"/>
    <w:uiPriority w:val="99"/>
    <w:unhideWhenUsed/>
    <w:rsid w:val="008240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aurav.dewan@travelfoodservic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9B6D6-1846-45BB-87C1-10102C17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Munjara, Charu</cp:lastModifiedBy>
  <cp:revision>8</cp:revision>
  <dcterms:created xsi:type="dcterms:W3CDTF">2023-11-29T13:12:00Z</dcterms:created>
  <dcterms:modified xsi:type="dcterms:W3CDTF">2023-11-29T13:19:00Z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fa3880-44e8-458b-8d4d-5acc5ed3d728_Enabled">
    <vt:lpwstr>true</vt:lpwstr>
  </property>
  <property fmtid="{D5CDD505-2E9C-101B-9397-08002B2CF9AE}" pid="3" name="MSIP_Label_bffa3880-44e8-458b-8d4d-5acc5ed3d728_SetDate">
    <vt:lpwstr>2022-12-23T14:05:11Z</vt:lpwstr>
  </property>
  <property fmtid="{D5CDD505-2E9C-101B-9397-08002B2CF9AE}" pid="4" name="MSIP_Label_bffa3880-44e8-458b-8d4d-5acc5ed3d728_Method">
    <vt:lpwstr>Privileged</vt:lpwstr>
  </property>
  <property fmtid="{D5CDD505-2E9C-101B-9397-08002B2CF9AE}" pid="5" name="MSIP_Label_bffa3880-44e8-458b-8d4d-5acc5ed3d728_Name">
    <vt:lpwstr>bffa3880-44e8-458b-8d4d-5acc5ed3d728</vt:lpwstr>
  </property>
  <property fmtid="{D5CDD505-2E9C-101B-9397-08002B2CF9AE}" pid="6" name="MSIP_Label_bffa3880-44e8-458b-8d4d-5acc5ed3d728_SiteId">
    <vt:lpwstr>2ba9001d-d7f9-43a3-a098-6a927ac715ca</vt:lpwstr>
  </property>
  <property fmtid="{D5CDD505-2E9C-101B-9397-08002B2CF9AE}" pid="7" name="MSIP_Label_bffa3880-44e8-458b-8d4d-5acc5ed3d728_ActionId">
    <vt:lpwstr>e19ad2b9-1eca-439b-b2ea-3bc81d958c6d</vt:lpwstr>
  </property>
  <property fmtid="{D5CDD505-2E9C-101B-9397-08002B2CF9AE}" pid="8" name="MSIP_Label_bffa3880-44e8-458b-8d4d-5acc5ed3d728_ContentBits">
    <vt:lpwstr>0</vt:lpwstr>
  </property>
</Properties>
</file>